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6614CE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9653C87" wp14:editId="2BCFCE8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O"/>
              </w:rPr>
              <w:t>str</w:t>
            </w:r>
            <w:r>
              <w:rPr>
                <w:b/>
                <w:sz w:val="20"/>
                <w:szCs w:val="20"/>
                <w:lang w:val="ro-MO"/>
              </w:rPr>
              <w:t>ada</w:t>
            </w:r>
            <w:r w:rsidRPr="00FF2AC2">
              <w:rPr>
                <w:b/>
                <w:sz w:val="20"/>
                <w:szCs w:val="20"/>
                <w:lang w:val="ro-MO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5A4A2F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hyperlink r:id="rId7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32CF75" wp14:editId="5E4DA11B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O"/>
              </w:rPr>
              <w:t>LEN</w:t>
            </w:r>
            <w:r>
              <w:rPr>
                <w:b/>
                <w:sz w:val="20"/>
                <w:szCs w:val="20"/>
                <w:lang w:val="ro-MO"/>
              </w:rPr>
              <w:t>İ</w:t>
            </w:r>
            <w:r w:rsidRPr="00FF2AC2">
              <w:rPr>
                <w:b/>
                <w:sz w:val="20"/>
                <w:szCs w:val="20"/>
                <w:lang w:val="ro-MO"/>
              </w:rPr>
              <w:t>N sokaa, 91</w:t>
            </w:r>
          </w:p>
        </w:tc>
      </w:tr>
    </w:tbl>
    <w:p w:rsidR="00EA0F14" w:rsidRDefault="00EA0F14" w:rsidP="00EA0F14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EA0F14" w:rsidRDefault="006614CE" w:rsidP="00EA0F14">
      <w:pPr>
        <w:jc w:val="center"/>
        <w:rPr>
          <w:b/>
        </w:rPr>
      </w:pPr>
      <w:r>
        <w:rPr>
          <w:b/>
        </w:rPr>
        <w:t>___________</w:t>
      </w:r>
      <w:r w:rsidR="00A0066A">
        <w:rPr>
          <w:b/>
        </w:rPr>
        <w:t>.202</w:t>
      </w:r>
      <w:r>
        <w:rPr>
          <w:b/>
        </w:rPr>
        <w:t>1</w:t>
      </w:r>
      <w:r w:rsidR="00EA0F14">
        <w:rPr>
          <w:b/>
        </w:rPr>
        <w:t xml:space="preserve">г.                                                                                  № </w:t>
      </w:r>
      <w:r>
        <w:rPr>
          <w:b/>
        </w:rPr>
        <w:t>2/__</w:t>
      </w:r>
    </w:p>
    <w:p w:rsidR="00EA0F14" w:rsidRDefault="00EA0F14" w:rsidP="00EA0F14">
      <w:pPr>
        <w:jc w:val="center"/>
        <w:rPr>
          <w:b/>
        </w:rPr>
      </w:pPr>
      <w:r>
        <w:rPr>
          <w:b/>
        </w:rPr>
        <w:t>мун. Чадыр-Лунга</w:t>
      </w:r>
    </w:p>
    <w:p w:rsidR="00F04028" w:rsidRPr="00D73DFF" w:rsidRDefault="00F04028" w:rsidP="00F0402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16"/>
          <w:szCs w:val="16"/>
        </w:rPr>
      </w:pPr>
    </w:p>
    <w:p w:rsidR="00484506" w:rsidRPr="00EA0F14" w:rsidRDefault="00EA6265" w:rsidP="00D73DFF">
      <w:pPr>
        <w:jc w:val="both"/>
        <w:rPr>
          <w:b/>
        </w:rPr>
      </w:pPr>
      <w:r w:rsidRPr="00EA6265">
        <w:rPr>
          <w:b/>
        </w:rPr>
        <w:t>Об утверждении Плана ремонта местных дорог на 20</w:t>
      </w:r>
      <w:r w:rsidR="00A0066A">
        <w:rPr>
          <w:b/>
        </w:rPr>
        <w:t>2</w:t>
      </w:r>
      <w:r w:rsidR="006614CE">
        <w:rPr>
          <w:b/>
        </w:rPr>
        <w:t>1</w:t>
      </w:r>
      <w:r w:rsidRPr="00EA6265">
        <w:rPr>
          <w:b/>
        </w:rPr>
        <w:t xml:space="preserve"> </w:t>
      </w:r>
      <w:r w:rsidR="00AF6F4C" w:rsidRPr="00AF6F4C">
        <w:rPr>
          <w:b/>
        </w:rPr>
        <w:t>год</w:t>
      </w:r>
    </w:p>
    <w:p w:rsidR="00EA0F14" w:rsidRPr="00D73DFF" w:rsidRDefault="00EA0F14" w:rsidP="00D73DFF">
      <w:pPr>
        <w:jc w:val="both"/>
        <w:rPr>
          <w:b/>
          <w:color w:val="000000"/>
          <w:sz w:val="16"/>
          <w:szCs w:val="16"/>
          <w:shd w:val="clear" w:color="auto" w:fill="FFFFFF"/>
        </w:rPr>
      </w:pPr>
    </w:p>
    <w:p w:rsidR="006614CE" w:rsidRDefault="00C068BF" w:rsidP="00D73DFF">
      <w:pPr>
        <w:ind w:firstLine="708"/>
        <w:jc w:val="both"/>
      </w:pPr>
      <w:proofErr w:type="gramStart"/>
      <w:r w:rsidRPr="00FE5AC7">
        <w:t>Рассмотрев</w:t>
      </w:r>
      <w:r w:rsidR="00AF6F4C">
        <w:t xml:space="preserve"> </w:t>
      </w:r>
      <w:r w:rsidR="00EA6265">
        <w:t>предлож</w:t>
      </w:r>
      <w:r w:rsidR="00DF2225">
        <w:t>ение примара мун.Чадыр-Лунга</w:t>
      </w:r>
      <w:r w:rsidR="0000118A">
        <w:t xml:space="preserve"> А. Топал</w:t>
      </w:r>
      <w:r w:rsidR="006614CE">
        <w:t xml:space="preserve"> </w:t>
      </w:r>
      <w:r w:rsidR="006614CE">
        <w:t>об</w:t>
      </w:r>
      <w:r w:rsidR="006614CE" w:rsidRPr="00AF6F4C">
        <w:t xml:space="preserve"> </w:t>
      </w:r>
      <w:r w:rsidR="006614CE" w:rsidRPr="00DF2225">
        <w:t>утверждении</w:t>
      </w:r>
      <w:proofErr w:type="gramEnd"/>
      <w:r w:rsidR="006614CE" w:rsidRPr="00DF2225">
        <w:t xml:space="preserve"> Плана ремонта местных дорог на 20</w:t>
      </w:r>
      <w:r w:rsidR="006614CE">
        <w:t>2</w:t>
      </w:r>
      <w:r w:rsidR="006614CE">
        <w:t>1</w:t>
      </w:r>
      <w:r w:rsidR="006614CE" w:rsidRPr="00DF2225">
        <w:t xml:space="preserve"> год</w:t>
      </w:r>
      <w:r w:rsidR="006614CE">
        <w:t xml:space="preserve">, </w:t>
      </w:r>
      <w:r w:rsidR="00B07EC5">
        <w:t xml:space="preserve">который </w:t>
      </w:r>
      <w:r w:rsidR="006614CE">
        <w:t>указа</w:t>
      </w:r>
      <w:r w:rsidR="00B07EC5">
        <w:t>л</w:t>
      </w:r>
      <w:r w:rsidR="006614CE">
        <w:t xml:space="preserve"> обстоятельства для</w:t>
      </w:r>
      <w:r w:rsidR="00B07EC5">
        <w:t xml:space="preserve"> определения</w:t>
      </w:r>
      <w:r w:rsidR="006614CE">
        <w:t xml:space="preserve"> приори</w:t>
      </w:r>
      <w:r w:rsidR="00B07EC5">
        <w:t>те</w:t>
      </w:r>
      <w:r w:rsidR="006614CE">
        <w:t>т</w:t>
      </w:r>
      <w:r w:rsidR="00B07EC5">
        <w:t>а</w:t>
      </w:r>
      <w:r w:rsidR="006614CE">
        <w:t xml:space="preserve"> ремонта </w:t>
      </w:r>
      <w:r w:rsidR="00B07EC5">
        <w:t>дорожного полотна</w:t>
      </w:r>
      <w:r w:rsidR="006614CE">
        <w:t>:</w:t>
      </w:r>
      <w:bookmarkStart w:id="0" w:name="_GoBack"/>
      <w:bookmarkEnd w:id="0"/>
    </w:p>
    <w:p w:rsidR="006614CE" w:rsidRDefault="00B07EC5" w:rsidP="00D73DFF">
      <w:pPr>
        <w:pStyle w:val="a5"/>
        <w:numPr>
          <w:ilvl w:val="0"/>
          <w:numId w:val="6"/>
        </w:numPr>
        <w:jc w:val="both"/>
      </w:pPr>
      <w:r>
        <w:t xml:space="preserve">улицы, </w:t>
      </w:r>
      <w:r w:rsidR="006614CE">
        <w:t>имеющи</w:t>
      </w:r>
      <w:r>
        <w:t>е</w:t>
      </w:r>
      <w:r w:rsidR="006614CE">
        <w:t xml:space="preserve"> большой уклон, из-за чего во время дождей щебень с них смывает на центральные улицы города;</w:t>
      </w:r>
    </w:p>
    <w:p w:rsidR="006614CE" w:rsidRDefault="00B07EC5" w:rsidP="00D73DFF">
      <w:pPr>
        <w:pStyle w:val="a5"/>
        <w:numPr>
          <w:ilvl w:val="0"/>
          <w:numId w:val="6"/>
        </w:numPr>
        <w:jc w:val="both"/>
      </w:pPr>
      <w:r>
        <w:t xml:space="preserve">улицы, </w:t>
      </w:r>
      <w:r w:rsidR="006614CE">
        <w:t xml:space="preserve">где курсирует </w:t>
      </w:r>
      <w:r>
        <w:t>внутри</w:t>
      </w:r>
      <w:r w:rsidR="006614CE">
        <w:t>городской общественный транспорт</w:t>
      </w:r>
      <w:r w:rsidR="006614CE">
        <w:t>;</w:t>
      </w:r>
    </w:p>
    <w:p w:rsidR="006614CE" w:rsidRDefault="00B07EC5" w:rsidP="00D73DFF">
      <w:pPr>
        <w:pStyle w:val="a5"/>
        <w:numPr>
          <w:ilvl w:val="0"/>
          <w:numId w:val="6"/>
        </w:numPr>
        <w:jc w:val="both"/>
      </w:pPr>
      <w:r>
        <w:t xml:space="preserve">улицы, </w:t>
      </w:r>
      <w:r w:rsidR="006614CE">
        <w:t xml:space="preserve">где критично нарушено дорожное полотно, что затрудняет проезд </w:t>
      </w:r>
      <w:r w:rsidR="006614CE">
        <w:t>авто</w:t>
      </w:r>
      <w:r w:rsidR="006614CE">
        <w:t>тран</w:t>
      </w:r>
      <w:r w:rsidR="006D35C1">
        <w:t>спорта и передвижение пешеходов,</w:t>
      </w:r>
    </w:p>
    <w:p w:rsidR="00C068BF" w:rsidRPr="002A5AA5" w:rsidRDefault="005A4A2F" w:rsidP="00D73DFF">
      <w:pPr>
        <w:jc w:val="both"/>
      </w:pPr>
      <w:r>
        <w:t xml:space="preserve">а также </w:t>
      </w:r>
      <w:r>
        <w:t>учитывая обращения жителей улиц</w:t>
      </w:r>
      <w:r>
        <w:t xml:space="preserve"> муниципия,</w:t>
      </w:r>
      <w:r>
        <w:t xml:space="preserve"> </w:t>
      </w:r>
      <w:r w:rsidR="00075A4B">
        <w:t>руководствуясь п.</w:t>
      </w:r>
      <w:r w:rsidR="00690225" w:rsidRPr="006614CE">
        <w:rPr>
          <w:lang w:val="en-US"/>
        </w:rPr>
        <w:t>b</w:t>
      </w:r>
      <w:r w:rsidR="00690225">
        <w:t>),</w:t>
      </w:r>
      <w:r w:rsidR="0000118A">
        <w:t xml:space="preserve"> </w:t>
      </w:r>
      <w:r w:rsidR="00690225">
        <w:t xml:space="preserve"> </w:t>
      </w:r>
      <w:r w:rsidR="00075A4B" w:rsidRPr="006614CE">
        <w:rPr>
          <w:lang w:val="en-US"/>
        </w:rPr>
        <w:t>f</w:t>
      </w:r>
      <w:r w:rsidR="00690225">
        <w:t>)</w:t>
      </w:r>
      <w:r w:rsidR="00075A4B" w:rsidRPr="00075A4B">
        <w:t xml:space="preserve"> </w:t>
      </w:r>
      <w:r w:rsidR="00075A4B">
        <w:t>ч.2 ст.14 З</w:t>
      </w:r>
      <w:r w:rsidR="004839A3" w:rsidRPr="00FE5AC7">
        <w:t>акон</w:t>
      </w:r>
      <w:r w:rsidR="00075A4B">
        <w:t>а</w:t>
      </w:r>
      <w:r w:rsidR="004839A3" w:rsidRPr="00FE5AC7">
        <w:t xml:space="preserve"> РМ «О местном публичном управлении» №436-XVI от 28.12.2006,</w:t>
      </w:r>
      <w:r w:rsidR="00C068BF" w:rsidRPr="006614CE">
        <w:rPr>
          <w:bCs/>
        </w:rPr>
        <w:t xml:space="preserve"> </w:t>
      </w:r>
    </w:p>
    <w:p w:rsidR="00C068BF" w:rsidRPr="00816275" w:rsidRDefault="00C068BF" w:rsidP="00D73DFF">
      <w:pPr>
        <w:jc w:val="center"/>
        <w:rPr>
          <w:b/>
        </w:rPr>
      </w:pPr>
      <w:proofErr w:type="spellStart"/>
      <w:r w:rsidRPr="00816275">
        <w:t>Чадыр-Лунгский</w:t>
      </w:r>
      <w:proofErr w:type="spellEnd"/>
      <w:r w:rsidRPr="00816275">
        <w:t xml:space="preserve"> </w:t>
      </w:r>
      <w:r>
        <w:t>Муниципальный</w:t>
      </w:r>
      <w:r w:rsidRPr="00816275">
        <w:t xml:space="preserve"> Совет</w:t>
      </w:r>
    </w:p>
    <w:p w:rsidR="00C068BF" w:rsidRDefault="00C068BF" w:rsidP="00D73DFF">
      <w:pPr>
        <w:jc w:val="center"/>
      </w:pPr>
      <w:r w:rsidRPr="00816275">
        <w:rPr>
          <w:b/>
        </w:rPr>
        <w:t>РЕШИЛ</w:t>
      </w:r>
      <w:r w:rsidRPr="00816275">
        <w:t>:</w:t>
      </w:r>
    </w:p>
    <w:p w:rsidR="00690225" w:rsidRDefault="004A1A3A" w:rsidP="006D35C1">
      <w:pPr>
        <w:numPr>
          <w:ilvl w:val="0"/>
          <w:numId w:val="2"/>
        </w:numPr>
        <w:suppressAutoHyphens/>
        <w:ind w:left="426" w:hanging="426"/>
        <w:jc w:val="both"/>
      </w:pPr>
      <w:r>
        <w:t xml:space="preserve">Утвердить </w:t>
      </w:r>
      <w:r w:rsidR="00690225" w:rsidRPr="00AF6F4C">
        <w:t xml:space="preserve"> </w:t>
      </w:r>
      <w:r w:rsidRPr="004A1A3A">
        <w:t>План ремонта местных дорог на 20</w:t>
      </w:r>
      <w:r w:rsidR="00A0066A">
        <w:t>2</w:t>
      </w:r>
      <w:r w:rsidR="006614CE">
        <w:t>1</w:t>
      </w:r>
      <w:r w:rsidRPr="004A1A3A">
        <w:t xml:space="preserve"> год </w:t>
      </w:r>
      <w:r w:rsidR="00690225">
        <w:t>мун.Чадыр-Лунга</w:t>
      </w:r>
      <w:r w:rsidR="006D35C1">
        <w:t xml:space="preserve"> </w:t>
      </w:r>
      <w:r w:rsidR="006D35C1" w:rsidRPr="006D35C1">
        <w:t>в твёрдом покрытии</w:t>
      </w:r>
      <w:r w:rsidR="0000118A">
        <w:t>, включив следующие улицы</w:t>
      </w:r>
      <w:r w:rsidR="00690225">
        <w:t>:</w:t>
      </w:r>
    </w:p>
    <w:tbl>
      <w:tblPr>
        <w:tblStyle w:val="a8"/>
        <w:tblW w:w="0" w:type="auto"/>
        <w:jc w:val="center"/>
        <w:tblInd w:w="550" w:type="dxa"/>
        <w:tblLook w:val="04A0" w:firstRow="1" w:lastRow="0" w:firstColumn="1" w:lastColumn="0" w:noHBand="0" w:noVBand="1"/>
      </w:tblPr>
      <w:tblGrid>
        <w:gridCol w:w="1127"/>
        <w:gridCol w:w="6228"/>
      </w:tblGrid>
      <w:tr w:rsidR="006614CE" w:rsidTr="00B07EC5">
        <w:trPr>
          <w:jc w:val="center"/>
        </w:trPr>
        <w:tc>
          <w:tcPr>
            <w:tcW w:w="1127" w:type="dxa"/>
          </w:tcPr>
          <w:p w:rsidR="006614CE" w:rsidRDefault="006614CE" w:rsidP="00B07EC5">
            <w:pPr>
              <w:suppressAutoHyphens/>
              <w:jc w:val="center"/>
            </w:pPr>
            <w:r>
              <w:t>1</w:t>
            </w:r>
          </w:p>
        </w:tc>
        <w:tc>
          <w:tcPr>
            <w:tcW w:w="6228" w:type="dxa"/>
          </w:tcPr>
          <w:p w:rsidR="006614CE" w:rsidRDefault="00DD09D6" w:rsidP="00D73DFF">
            <w:pPr>
              <w:suppressAutoHyphens/>
              <w:jc w:val="both"/>
            </w:pPr>
            <w:r>
              <w:t xml:space="preserve">ул. Бориса </w:t>
            </w:r>
            <w:proofErr w:type="spellStart"/>
            <w:r w:rsidR="006614CE">
              <w:t>Главана</w:t>
            </w:r>
            <w:proofErr w:type="spellEnd"/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2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ул. Чапаева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3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ул. 1 мая (</w:t>
            </w:r>
            <w:r>
              <w:t xml:space="preserve">от </w:t>
            </w:r>
            <w:proofErr w:type="spellStart"/>
            <w:r>
              <w:t>ул</w:t>
            </w:r>
            <w:proofErr w:type="gramStart"/>
            <w:r>
              <w:t>.</w:t>
            </w:r>
            <w:r>
              <w:t>Л</w:t>
            </w:r>
            <w:proofErr w:type="gramEnd"/>
            <w:r>
              <w:t>омоносова</w:t>
            </w:r>
            <w:proofErr w:type="spellEnd"/>
            <w:r>
              <w:t xml:space="preserve"> до </w:t>
            </w:r>
            <w:proofErr w:type="spellStart"/>
            <w:r>
              <w:t>ул.Чайковского</w:t>
            </w:r>
            <w:proofErr w:type="spellEnd"/>
            <w:r>
              <w:t>)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4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пер. Кирова</w:t>
            </w:r>
            <w:r w:rsidR="00A3108D">
              <w:t xml:space="preserve"> </w:t>
            </w:r>
            <w:r w:rsidR="00A3108D">
              <w:t>(до 200 м)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5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ул. Горького (</w:t>
            </w:r>
            <w:r w:rsidR="00A3108D">
              <w:t>частично</w:t>
            </w:r>
            <w:r>
              <w:t xml:space="preserve">) 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6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ул. Тургенева (до 200 м)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Default="00DD09D6" w:rsidP="00B07EC5">
            <w:pPr>
              <w:suppressAutoHyphens/>
              <w:jc w:val="center"/>
            </w:pPr>
            <w:r>
              <w:t>7</w:t>
            </w:r>
          </w:p>
        </w:tc>
        <w:tc>
          <w:tcPr>
            <w:tcW w:w="6228" w:type="dxa"/>
          </w:tcPr>
          <w:p w:rsidR="00DD09D6" w:rsidRPr="00883006" w:rsidRDefault="00DD09D6" w:rsidP="00D73DFF">
            <w:pPr>
              <w:suppressAutoHyphens/>
              <w:jc w:val="both"/>
            </w:pPr>
            <w:r>
              <w:t xml:space="preserve">ул. </w:t>
            </w:r>
            <w:r>
              <w:t>Измайловская</w:t>
            </w:r>
            <w:r>
              <w:t xml:space="preserve"> (</w:t>
            </w:r>
            <w:r>
              <w:t xml:space="preserve">от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омоносова</w:t>
            </w:r>
            <w:proofErr w:type="spellEnd"/>
            <w:r>
              <w:t xml:space="preserve"> до </w:t>
            </w:r>
            <w:proofErr w:type="spellStart"/>
            <w:r>
              <w:t>ул.</w:t>
            </w:r>
            <w:r w:rsidR="00A3108D">
              <w:t>Пушкина</w:t>
            </w:r>
            <w:proofErr w:type="spellEnd"/>
            <w:r>
              <w:t>)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Pr="00883006" w:rsidRDefault="00DD09D6" w:rsidP="00B07EC5">
            <w:pPr>
              <w:suppressAutoHyphens/>
              <w:jc w:val="center"/>
            </w:pPr>
            <w:r w:rsidRPr="00883006">
              <w:t>8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</w:pPr>
            <w:r>
              <w:t xml:space="preserve">ул. </w:t>
            </w:r>
            <w:proofErr w:type="spellStart"/>
            <w:r w:rsidR="00A3108D">
              <w:t>Танасогло</w:t>
            </w:r>
            <w:proofErr w:type="spellEnd"/>
            <w:r w:rsidR="00A3108D">
              <w:t xml:space="preserve"> </w:t>
            </w:r>
            <w:r w:rsidR="00A3108D">
              <w:t xml:space="preserve">(от </w:t>
            </w:r>
            <w:proofErr w:type="spellStart"/>
            <w:r w:rsidR="00A3108D">
              <w:t>ул</w:t>
            </w:r>
            <w:proofErr w:type="gramStart"/>
            <w:r w:rsidR="00A3108D">
              <w:t>.</w:t>
            </w:r>
            <w:r w:rsidR="00A3108D">
              <w:t>Л</w:t>
            </w:r>
            <w:proofErr w:type="gramEnd"/>
            <w:r w:rsidR="00A3108D">
              <w:t>енина</w:t>
            </w:r>
            <w:proofErr w:type="spellEnd"/>
            <w:r w:rsidR="00A3108D">
              <w:t xml:space="preserve"> до </w:t>
            </w:r>
            <w:proofErr w:type="spellStart"/>
            <w:r w:rsidR="00A3108D">
              <w:t>ул.</w:t>
            </w:r>
            <w:r w:rsidR="00A3108D">
              <w:t>Гоголя</w:t>
            </w:r>
            <w:proofErr w:type="spellEnd"/>
            <w:r w:rsidR="00A3108D">
              <w:t>)</w:t>
            </w:r>
          </w:p>
        </w:tc>
      </w:tr>
      <w:tr w:rsidR="00DD09D6" w:rsidTr="00B07EC5">
        <w:trPr>
          <w:jc w:val="center"/>
        </w:trPr>
        <w:tc>
          <w:tcPr>
            <w:tcW w:w="1127" w:type="dxa"/>
          </w:tcPr>
          <w:p w:rsidR="00DD09D6" w:rsidRPr="00883006" w:rsidRDefault="00DD09D6" w:rsidP="00B07EC5">
            <w:pPr>
              <w:suppressAutoHyphens/>
              <w:jc w:val="center"/>
            </w:pPr>
            <w:r>
              <w:t>9</w:t>
            </w:r>
          </w:p>
        </w:tc>
        <w:tc>
          <w:tcPr>
            <w:tcW w:w="6228" w:type="dxa"/>
          </w:tcPr>
          <w:p w:rsidR="00DD09D6" w:rsidRDefault="00DD09D6" w:rsidP="00D73DFF">
            <w:pPr>
              <w:suppressAutoHyphens/>
              <w:jc w:val="both"/>
            </w:pPr>
            <w:r>
              <w:t>другие</w:t>
            </w:r>
          </w:p>
        </w:tc>
      </w:tr>
    </w:tbl>
    <w:p w:rsidR="00A0066A" w:rsidRDefault="00A0066A" w:rsidP="00D73DFF">
      <w:pPr>
        <w:suppressAutoHyphens/>
        <w:jc w:val="both"/>
        <w:sectPr w:rsidR="00A0066A" w:rsidSect="00F511A2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070519" w:rsidRDefault="00070519" w:rsidP="00D73DFF">
      <w:pPr>
        <w:suppressAutoHyphens/>
        <w:ind w:left="426"/>
        <w:jc w:val="both"/>
      </w:pPr>
    </w:p>
    <w:p w:rsidR="00B57480" w:rsidRDefault="00B57480" w:rsidP="00D73DFF">
      <w:pPr>
        <w:pStyle w:val="a5"/>
        <w:numPr>
          <w:ilvl w:val="0"/>
          <w:numId w:val="2"/>
        </w:numPr>
        <w:ind w:left="426" w:hanging="426"/>
        <w:jc w:val="both"/>
      </w:pPr>
      <w:r>
        <w:t>Примэрии мун.Чадыр-Лунга</w:t>
      </w:r>
      <w:r w:rsidR="00D73DFF">
        <w:t xml:space="preserve"> в 2021 году</w:t>
      </w:r>
      <w:r>
        <w:t xml:space="preserve"> </w:t>
      </w:r>
      <w:r w:rsidR="00D73DFF">
        <w:t xml:space="preserve">года </w:t>
      </w:r>
      <w:r w:rsidR="005A4A2F">
        <w:t xml:space="preserve">приобрести щебень и </w:t>
      </w:r>
      <w:r w:rsidR="006D35C1">
        <w:t>силами Отдела благоустройства и санитарной очистки</w:t>
      </w:r>
      <w:r w:rsidR="006D35C1">
        <w:t xml:space="preserve"> </w:t>
      </w:r>
      <w:r w:rsidR="005A4A2F">
        <w:t>провести работы по благоустройству дорожного полотна в белом варианте</w:t>
      </w:r>
      <w:r w:rsidR="00D73DFF">
        <w:t xml:space="preserve"> </w:t>
      </w:r>
      <w:r w:rsidR="005A4A2F">
        <w:t xml:space="preserve">на участках дорог, </w:t>
      </w:r>
      <w:r w:rsidR="006D35C1">
        <w:t xml:space="preserve">требующих </w:t>
      </w:r>
      <w:r w:rsidR="005A4A2F">
        <w:t xml:space="preserve">выравнивания и </w:t>
      </w:r>
      <w:r w:rsidR="006D35C1">
        <w:t>подсыпки</w:t>
      </w:r>
      <w:r w:rsidR="00B07EC5">
        <w:t>.</w:t>
      </w:r>
      <w:r w:rsidR="00D73DFF">
        <w:t xml:space="preserve"> </w:t>
      </w:r>
    </w:p>
    <w:p w:rsidR="00B57480" w:rsidRDefault="006B5631" w:rsidP="005A4A2F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Определить, что </w:t>
      </w:r>
      <w:r w:rsidR="00B57480">
        <w:t>в случае</w:t>
      </w:r>
      <w:r w:rsidR="006D35C1">
        <w:t>,</w:t>
      </w:r>
      <w:r w:rsidR="00B57480">
        <w:t xml:space="preserve"> если </w:t>
      </w:r>
      <w:r w:rsidR="005A4A2F">
        <w:t xml:space="preserve">в течение 2021 бюджетного года будет перевыполнение доходной части бюджета муниципия, то данные финансовые средства будут направлены </w:t>
      </w:r>
      <w:r w:rsidR="006D35C1">
        <w:t>на ремонт дорог</w:t>
      </w:r>
      <w:r w:rsidR="00B57480">
        <w:t xml:space="preserve"> исходя из предложений, высказанных на публичных консультациях</w:t>
      </w:r>
      <w:r w:rsidR="00D73DFF">
        <w:t>,</w:t>
      </w:r>
      <w:r w:rsidR="00B57480">
        <w:t xml:space="preserve"> или согласно ходатайств</w:t>
      </w:r>
      <w:r w:rsidR="00D73DFF">
        <w:t>ам</w:t>
      </w:r>
      <w:r w:rsidR="00B57480">
        <w:t xml:space="preserve"> жителей улиц после окончательного решения </w:t>
      </w:r>
      <w:r w:rsidR="006D35C1">
        <w:t>местным</w:t>
      </w:r>
      <w:r w:rsidR="00D73DFF">
        <w:t xml:space="preserve"> </w:t>
      </w:r>
      <w:r w:rsidR="00B57480">
        <w:t>Совет</w:t>
      </w:r>
      <w:r w:rsidR="006D35C1">
        <w:t>ом</w:t>
      </w:r>
      <w:r w:rsidR="00B57480">
        <w:t>.</w:t>
      </w:r>
    </w:p>
    <w:p w:rsidR="00D7127E" w:rsidRDefault="00D7127E" w:rsidP="00D73DFF">
      <w:pPr>
        <w:pStyle w:val="a5"/>
        <w:numPr>
          <w:ilvl w:val="0"/>
          <w:numId w:val="2"/>
        </w:numPr>
        <w:ind w:left="426" w:hanging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</w:t>
      </w:r>
      <w:r w:rsidR="00B07EC5">
        <w:t xml:space="preserve">шения возложить на </w:t>
      </w:r>
      <w:r w:rsidR="005A4A2F">
        <w:t xml:space="preserve">заместителя </w:t>
      </w:r>
      <w:r w:rsidR="00B07EC5">
        <w:t>примара мун.</w:t>
      </w:r>
      <w:r>
        <w:t xml:space="preserve">Чадыр-Лунга </w:t>
      </w:r>
      <w:proofErr w:type="spellStart"/>
      <w:r w:rsidR="005A4A2F">
        <w:t>М.Стамова</w:t>
      </w:r>
      <w:proofErr w:type="spellEnd"/>
      <w:r>
        <w:t>.</w:t>
      </w:r>
    </w:p>
    <w:p w:rsidR="00D7127E" w:rsidRDefault="00D7127E" w:rsidP="00D73DFF">
      <w:pPr>
        <w:jc w:val="both"/>
      </w:pPr>
    </w:p>
    <w:p w:rsidR="006D35C1" w:rsidRPr="009D2534" w:rsidRDefault="006D35C1" w:rsidP="00D73DFF">
      <w:pPr>
        <w:jc w:val="both"/>
      </w:pPr>
    </w:p>
    <w:p w:rsidR="00D7127E" w:rsidRDefault="00D7127E" w:rsidP="00D73DFF">
      <w:pPr>
        <w:pStyle w:val="Standard"/>
        <w:ind w:left="708" w:firstLine="708"/>
      </w:pPr>
      <w:r>
        <w:t xml:space="preserve">Председатель </w:t>
      </w:r>
      <w:r w:rsidRPr="00A430D6">
        <w:t>Совета</w:t>
      </w:r>
      <w:r>
        <w:tab/>
      </w:r>
      <w:r>
        <w:tab/>
      </w:r>
      <w:r>
        <w:tab/>
      </w:r>
      <w:r>
        <w:tab/>
        <w:t>Наталья НОВАЧЛЫ</w:t>
      </w:r>
    </w:p>
    <w:p w:rsidR="00D7127E" w:rsidRPr="00A430D6" w:rsidRDefault="00D7127E" w:rsidP="00D73DFF">
      <w:pPr>
        <w:pStyle w:val="Standard"/>
        <w:ind w:firstLine="708"/>
      </w:pPr>
      <w:r w:rsidRPr="00A430D6">
        <w:t>Контрассигнует:</w:t>
      </w:r>
    </w:p>
    <w:p w:rsidR="00D7127E" w:rsidRPr="003F0F03" w:rsidRDefault="00D7127E" w:rsidP="00D73DFF">
      <w:pPr>
        <w:ind w:left="708" w:firstLine="708"/>
        <w:jc w:val="both"/>
        <w:rPr>
          <w:sz w:val="22"/>
          <w:szCs w:val="22"/>
        </w:rPr>
      </w:pPr>
      <w:r w:rsidRPr="00A430D6">
        <w:t>Секретарь Совета</w:t>
      </w:r>
      <w:r>
        <w:tab/>
      </w:r>
      <w:r>
        <w:tab/>
      </w:r>
      <w:r>
        <w:tab/>
      </w:r>
      <w:r>
        <w:tab/>
      </w:r>
      <w:r>
        <w:tab/>
        <w:t>Ол</w:t>
      </w:r>
      <w:r w:rsidRPr="00A430D6">
        <w:t xml:space="preserve">еся  </w:t>
      </w:r>
      <w:r>
        <w:t>ЧЕБАНОВА</w:t>
      </w:r>
    </w:p>
    <w:sectPr w:rsidR="00D7127E" w:rsidRPr="003F0F03" w:rsidSect="00D7127E">
      <w:type w:val="continuous"/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DE45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3F6B3190"/>
    <w:multiLevelType w:val="hybridMultilevel"/>
    <w:tmpl w:val="9DCC2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4">
    <w:nsid w:val="5F256B30"/>
    <w:multiLevelType w:val="hybridMultilevel"/>
    <w:tmpl w:val="D932E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567A7"/>
    <w:rsid w:val="00070519"/>
    <w:rsid w:val="00073E0E"/>
    <w:rsid w:val="000744FF"/>
    <w:rsid w:val="00075A4B"/>
    <w:rsid w:val="000D3932"/>
    <w:rsid w:val="001228E8"/>
    <w:rsid w:val="00134A88"/>
    <w:rsid w:val="00147796"/>
    <w:rsid w:val="00153F48"/>
    <w:rsid w:val="00172A6C"/>
    <w:rsid w:val="001D63D1"/>
    <w:rsid w:val="00293FCC"/>
    <w:rsid w:val="002A5AA5"/>
    <w:rsid w:val="002F2BB3"/>
    <w:rsid w:val="00364501"/>
    <w:rsid w:val="00367AB4"/>
    <w:rsid w:val="00375357"/>
    <w:rsid w:val="00457A00"/>
    <w:rsid w:val="004839A3"/>
    <w:rsid w:val="00484506"/>
    <w:rsid w:val="004A1A3A"/>
    <w:rsid w:val="00502857"/>
    <w:rsid w:val="00562D58"/>
    <w:rsid w:val="00574295"/>
    <w:rsid w:val="005A4A2F"/>
    <w:rsid w:val="006614CE"/>
    <w:rsid w:val="006815D2"/>
    <w:rsid w:val="00690225"/>
    <w:rsid w:val="006B5631"/>
    <w:rsid w:val="006D35C1"/>
    <w:rsid w:val="006F297E"/>
    <w:rsid w:val="00757995"/>
    <w:rsid w:val="00763330"/>
    <w:rsid w:val="00795BEC"/>
    <w:rsid w:val="00883006"/>
    <w:rsid w:val="008B4C49"/>
    <w:rsid w:val="009A18F2"/>
    <w:rsid w:val="00A0066A"/>
    <w:rsid w:val="00A27AF1"/>
    <w:rsid w:val="00A3108D"/>
    <w:rsid w:val="00AC67F4"/>
    <w:rsid w:val="00AF15B4"/>
    <w:rsid w:val="00AF472B"/>
    <w:rsid w:val="00AF6F4C"/>
    <w:rsid w:val="00B07EC5"/>
    <w:rsid w:val="00B22D5B"/>
    <w:rsid w:val="00B57480"/>
    <w:rsid w:val="00BA72BD"/>
    <w:rsid w:val="00C068BF"/>
    <w:rsid w:val="00C1235F"/>
    <w:rsid w:val="00C7568F"/>
    <w:rsid w:val="00CD4D5F"/>
    <w:rsid w:val="00D7127E"/>
    <w:rsid w:val="00D73248"/>
    <w:rsid w:val="00D73DFF"/>
    <w:rsid w:val="00DA7BB0"/>
    <w:rsid w:val="00DD09D6"/>
    <w:rsid w:val="00DF2225"/>
    <w:rsid w:val="00EA0F14"/>
    <w:rsid w:val="00EA6265"/>
    <w:rsid w:val="00EC74B7"/>
    <w:rsid w:val="00F0122D"/>
    <w:rsid w:val="00F04028"/>
    <w:rsid w:val="00F22E42"/>
    <w:rsid w:val="00F511A2"/>
    <w:rsid w:val="00FE5AC7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0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0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F82_E34</dc:creator>
  <cp:lastModifiedBy>Олеся</cp:lastModifiedBy>
  <cp:revision>31</cp:revision>
  <cp:lastPrinted>2021-02-04T10:03:00Z</cp:lastPrinted>
  <dcterms:created xsi:type="dcterms:W3CDTF">2018-09-08T08:19:00Z</dcterms:created>
  <dcterms:modified xsi:type="dcterms:W3CDTF">2021-02-04T11:24:00Z</dcterms:modified>
</cp:coreProperties>
</file>