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99" w:rsidRDefault="0066652B" w:rsidP="0066652B">
      <w:pPr>
        <w:spacing w:line="276" w:lineRule="auto"/>
        <w:jc w:val="center"/>
        <w:rPr>
          <w:b/>
          <w:sz w:val="28"/>
          <w:szCs w:val="28"/>
        </w:rPr>
      </w:pPr>
      <w:r w:rsidRPr="0066652B">
        <w:rPr>
          <w:b/>
          <w:sz w:val="28"/>
          <w:szCs w:val="28"/>
        </w:rPr>
        <w:t>АНАЛИЗ</w:t>
      </w:r>
    </w:p>
    <w:p w:rsidR="00F92099" w:rsidRDefault="00F92099" w:rsidP="006665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финансово-экономической деятельности </w:t>
      </w:r>
    </w:p>
    <w:p w:rsidR="00F92099" w:rsidRDefault="00F92099" w:rsidP="0066652B">
      <w:pPr>
        <w:spacing w:line="276" w:lineRule="auto"/>
        <w:jc w:val="center"/>
        <w:rPr>
          <w:b/>
          <w:sz w:val="28"/>
          <w:szCs w:val="28"/>
        </w:rPr>
      </w:pPr>
      <w:r w:rsidRPr="0066652B">
        <w:rPr>
          <w:b/>
          <w:sz w:val="28"/>
          <w:szCs w:val="28"/>
        </w:rPr>
        <w:t>АО «APĂ-TERMO»</w:t>
      </w:r>
    </w:p>
    <w:p w:rsidR="00F92099" w:rsidRDefault="00F92099" w:rsidP="0066652B">
      <w:pPr>
        <w:spacing w:line="276" w:lineRule="auto"/>
        <w:jc w:val="center"/>
        <w:rPr>
          <w:b/>
          <w:sz w:val="28"/>
          <w:szCs w:val="28"/>
        </w:rPr>
      </w:pPr>
    </w:p>
    <w:p w:rsidR="00F92099" w:rsidRPr="00FF2CC6" w:rsidRDefault="00DE5945" w:rsidP="00DE5945">
      <w:pPr>
        <w:spacing w:line="276" w:lineRule="auto"/>
        <w:jc w:val="both"/>
        <w:rPr>
          <w:i/>
        </w:rPr>
      </w:pPr>
      <w:r>
        <w:rPr>
          <w:i/>
        </w:rPr>
        <w:t>(</w:t>
      </w:r>
      <w:r w:rsidR="00F92099" w:rsidRPr="00FF2CC6">
        <w:rPr>
          <w:i/>
        </w:rPr>
        <w:t xml:space="preserve">Настоящий анализ произведён на основании </w:t>
      </w:r>
      <w:r w:rsidR="00F92099" w:rsidRPr="00F92099">
        <w:rPr>
          <w:i/>
        </w:rPr>
        <w:t>Акт</w:t>
      </w:r>
      <w:r w:rsidR="00F92099">
        <w:rPr>
          <w:i/>
        </w:rPr>
        <w:t>а</w:t>
      </w:r>
      <w:r w:rsidR="00F92099" w:rsidRPr="00F92099">
        <w:rPr>
          <w:i/>
        </w:rPr>
        <w:t xml:space="preserve"> финансового инспектирования AO «APĂ-TERMO» за 2017</w:t>
      </w:r>
      <w:r>
        <w:rPr>
          <w:i/>
        </w:rPr>
        <w:t>-</w:t>
      </w:r>
      <w:r w:rsidR="00F92099" w:rsidRPr="00F92099">
        <w:rPr>
          <w:i/>
        </w:rPr>
        <w:t>2020</w:t>
      </w:r>
      <w:r>
        <w:rPr>
          <w:i/>
        </w:rPr>
        <w:t>г</w:t>
      </w:r>
      <w:r w:rsidR="00F92099" w:rsidRPr="00F92099">
        <w:rPr>
          <w:i/>
        </w:rPr>
        <w:t>г. от 16.03.2021г.</w:t>
      </w:r>
      <w:r w:rsidR="00376608">
        <w:rPr>
          <w:i/>
        </w:rPr>
        <w:t>,</w:t>
      </w:r>
      <w:r w:rsidR="00F92099">
        <w:rPr>
          <w:i/>
        </w:rPr>
        <w:t xml:space="preserve"> </w:t>
      </w:r>
      <w:r>
        <w:rPr>
          <w:i/>
        </w:rPr>
        <w:t>П</w:t>
      </w:r>
      <w:r w:rsidR="00F92099" w:rsidRPr="00FF2CC6">
        <w:rPr>
          <w:i/>
        </w:rPr>
        <w:t>роекта основных расходов на предоставление публичных услуг по водоснабжению и канализации АО «APĂ-TERMO» на основе</w:t>
      </w:r>
      <w:r w:rsidR="00F92099">
        <w:rPr>
          <w:i/>
        </w:rPr>
        <w:t xml:space="preserve"> фактических расходов за 2015-2019гг. и </w:t>
      </w:r>
      <w:r w:rsidR="00F92099" w:rsidRPr="00FF2CC6">
        <w:rPr>
          <w:i/>
        </w:rPr>
        <w:t>прогноза</w:t>
      </w:r>
      <w:r w:rsidR="00F92099">
        <w:rPr>
          <w:i/>
        </w:rPr>
        <w:t xml:space="preserve"> на базовый </w:t>
      </w:r>
      <w:r w:rsidR="00F92099" w:rsidRPr="00FF2CC6">
        <w:rPr>
          <w:i/>
        </w:rPr>
        <w:t xml:space="preserve">2020 год, опубликованного на сайте </w:t>
      </w:r>
      <w:r w:rsidR="00376608">
        <w:rPr>
          <w:i/>
        </w:rPr>
        <w:t>НАРЭ</w:t>
      </w:r>
      <w:r w:rsidR="00F92099" w:rsidRPr="00FF2CC6">
        <w:rPr>
          <w:i/>
        </w:rPr>
        <w:t xml:space="preserve"> </w:t>
      </w:r>
      <w:r w:rsidR="00376608">
        <w:rPr>
          <w:i/>
        </w:rPr>
        <w:t>РМ</w:t>
      </w:r>
      <w:r w:rsidR="00F92099" w:rsidRPr="00FF2CC6">
        <w:rPr>
          <w:i/>
        </w:rPr>
        <w:t xml:space="preserve"> 19.04.2021г. </w:t>
      </w:r>
      <w:r>
        <w:rPr>
          <w:i/>
        </w:rPr>
        <w:t>и представленн</w:t>
      </w:r>
      <w:r w:rsidR="00376608">
        <w:rPr>
          <w:i/>
        </w:rPr>
        <w:t>ого</w:t>
      </w:r>
      <w:r>
        <w:rPr>
          <w:i/>
        </w:rPr>
        <w:t xml:space="preserve"> в декабре 2020 года</w:t>
      </w:r>
      <w:r w:rsidR="00376608">
        <w:rPr>
          <w:i/>
        </w:rPr>
        <w:t>, а также финансового отчёта за 2019 и проекта баланса за 2020 год</w:t>
      </w:r>
      <w:r w:rsidR="00C4747B">
        <w:rPr>
          <w:i/>
        </w:rPr>
        <w:t xml:space="preserve"> и других документов, представленных предприятием</w:t>
      </w:r>
      <w:r>
        <w:rPr>
          <w:i/>
        </w:rPr>
        <w:t>).</w:t>
      </w:r>
    </w:p>
    <w:p w:rsidR="00F92099" w:rsidRDefault="00F92099" w:rsidP="0066652B">
      <w:pPr>
        <w:spacing w:line="276" w:lineRule="auto"/>
        <w:jc w:val="center"/>
        <w:rPr>
          <w:b/>
          <w:sz w:val="28"/>
          <w:szCs w:val="28"/>
        </w:rPr>
      </w:pPr>
    </w:p>
    <w:p w:rsidR="00C4747B" w:rsidRDefault="00C4747B" w:rsidP="0066652B">
      <w:pPr>
        <w:spacing w:line="276" w:lineRule="auto"/>
        <w:jc w:val="center"/>
        <w:rPr>
          <w:b/>
          <w:sz w:val="28"/>
          <w:szCs w:val="28"/>
        </w:rPr>
      </w:pPr>
    </w:p>
    <w:p w:rsidR="004B2435" w:rsidRDefault="000901B2" w:rsidP="000901B2">
      <w:pPr>
        <w:pStyle w:val="cb"/>
        <w:jc w:val="both"/>
        <w:rPr>
          <w:sz w:val="28"/>
          <w:szCs w:val="28"/>
        </w:rPr>
      </w:pPr>
      <w:r w:rsidRPr="000901B2">
        <w:rPr>
          <w:sz w:val="28"/>
          <w:szCs w:val="28"/>
        </w:rPr>
        <w:t xml:space="preserve">Информационно: </w:t>
      </w:r>
    </w:p>
    <w:p w:rsidR="004B2435" w:rsidRDefault="004B2435" w:rsidP="000901B2">
      <w:pPr>
        <w:pStyle w:val="cb"/>
        <w:jc w:val="both"/>
        <w:rPr>
          <w:sz w:val="28"/>
          <w:szCs w:val="28"/>
        </w:rPr>
      </w:pPr>
    </w:p>
    <w:p w:rsidR="00C4747B" w:rsidRDefault="00C4747B" w:rsidP="000901B2">
      <w:pPr>
        <w:pStyle w:val="cb"/>
        <w:jc w:val="both"/>
        <w:rPr>
          <w:sz w:val="28"/>
          <w:szCs w:val="28"/>
        </w:rPr>
      </w:pPr>
    </w:p>
    <w:p w:rsidR="00E41EF8" w:rsidRPr="00E41EF8" w:rsidRDefault="00BC63D2" w:rsidP="00BC63D2">
      <w:pPr>
        <w:pStyle w:val="cb"/>
        <w:numPr>
          <w:ilvl w:val="0"/>
          <w:numId w:val="10"/>
        </w:numPr>
        <w:jc w:val="both"/>
        <w:rPr>
          <w:sz w:val="28"/>
          <w:szCs w:val="28"/>
        </w:rPr>
      </w:pPr>
      <w:r w:rsidRPr="00E41EF8">
        <w:rPr>
          <w:b w:val="0"/>
          <w:sz w:val="28"/>
          <w:szCs w:val="28"/>
        </w:rPr>
        <w:t>Уставной капитал АО «APĂ-TERMO» составляет 9</w:t>
      </w:r>
      <w:r w:rsidR="00C4747B">
        <w:rPr>
          <w:b w:val="0"/>
          <w:sz w:val="28"/>
          <w:szCs w:val="28"/>
        </w:rPr>
        <w:t xml:space="preserve"> млн. </w:t>
      </w:r>
      <w:r w:rsidRPr="00E41EF8">
        <w:rPr>
          <w:b w:val="0"/>
          <w:sz w:val="28"/>
          <w:szCs w:val="28"/>
        </w:rPr>
        <w:t>778,7</w:t>
      </w:r>
      <w:r w:rsidR="00E41EF8">
        <w:rPr>
          <w:b w:val="0"/>
          <w:sz w:val="28"/>
          <w:szCs w:val="28"/>
        </w:rPr>
        <w:t xml:space="preserve"> </w:t>
      </w:r>
      <w:proofErr w:type="spellStart"/>
      <w:proofErr w:type="gramStart"/>
      <w:r w:rsidR="00E41EF8">
        <w:rPr>
          <w:b w:val="0"/>
          <w:sz w:val="28"/>
          <w:szCs w:val="28"/>
        </w:rPr>
        <w:t>тыс.леев</w:t>
      </w:r>
      <w:proofErr w:type="spellEnd"/>
      <w:proofErr w:type="gramEnd"/>
      <w:r w:rsidR="00E41EF8">
        <w:rPr>
          <w:b w:val="0"/>
          <w:sz w:val="28"/>
          <w:szCs w:val="28"/>
        </w:rPr>
        <w:t xml:space="preserve">, разделённый на 977867 акций. Единственным акционером всех акций является Администрация </w:t>
      </w:r>
      <w:proofErr w:type="spellStart"/>
      <w:r w:rsidR="00E41EF8">
        <w:rPr>
          <w:b w:val="0"/>
          <w:sz w:val="28"/>
          <w:szCs w:val="28"/>
        </w:rPr>
        <w:t>Чадыр-Лунгского</w:t>
      </w:r>
      <w:proofErr w:type="spellEnd"/>
      <w:r w:rsidR="00E41EF8">
        <w:rPr>
          <w:b w:val="0"/>
          <w:sz w:val="28"/>
          <w:szCs w:val="28"/>
        </w:rPr>
        <w:t xml:space="preserve"> района. </w:t>
      </w:r>
    </w:p>
    <w:p w:rsidR="00BC63D2" w:rsidRDefault="00BC63D2" w:rsidP="000901B2">
      <w:pPr>
        <w:pStyle w:val="cb"/>
        <w:jc w:val="both"/>
        <w:rPr>
          <w:sz w:val="28"/>
          <w:szCs w:val="28"/>
        </w:rPr>
      </w:pPr>
    </w:p>
    <w:p w:rsidR="004B2435" w:rsidRDefault="004B2435" w:rsidP="004B2435">
      <w:pPr>
        <w:pStyle w:val="cb"/>
        <w:numPr>
          <w:ilvl w:val="0"/>
          <w:numId w:val="9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2020 год предприятие оказывало следующие виды услуг:</w:t>
      </w:r>
    </w:p>
    <w:p w:rsidR="00E815E0" w:rsidRDefault="00E815E0" w:rsidP="00E815E0">
      <w:pPr>
        <w:pStyle w:val="cb"/>
        <w:numPr>
          <w:ilvl w:val="0"/>
          <w:numId w:val="1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Водоснабжение и обслуживание водопроводных систем </w:t>
      </w:r>
      <w:proofErr w:type="spellStart"/>
      <w:proofErr w:type="gramStart"/>
      <w:r>
        <w:rPr>
          <w:b w:val="0"/>
          <w:sz w:val="28"/>
          <w:szCs w:val="28"/>
        </w:rPr>
        <w:t>мун.Чадыр</w:t>
      </w:r>
      <w:proofErr w:type="gramEnd"/>
      <w:r>
        <w:rPr>
          <w:b w:val="0"/>
          <w:sz w:val="28"/>
          <w:szCs w:val="28"/>
        </w:rPr>
        <w:t>-Лунга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с.Казаклия</w:t>
      </w:r>
      <w:proofErr w:type="spellEnd"/>
      <w:r>
        <w:rPr>
          <w:b w:val="0"/>
          <w:sz w:val="28"/>
          <w:szCs w:val="28"/>
        </w:rPr>
        <w:t xml:space="preserve"> и </w:t>
      </w:r>
      <w:proofErr w:type="spellStart"/>
      <w:r>
        <w:rPr>
          <w:b w:val="0"/>
          <w:sz w:val="28"/>
          <w:szCs w:val="28"/>
        </w:rPr>
        <w:t>с.Баурчи</w:t>
      </w:r>
      <w:proofErr w:type="spellEnd"/>
      <w:r>
        <w:rPr>
          <w:b w:val="0"/>
          <w:sz w:val="28"/>
          <w:szCs w:val="28"/>
        </w:rPr>
        <w:t xml:space="preserve">. </w:t>
      </w:r>
    </w:p>
    <w:p w:rsidR="00E815E0" w:rsidRDefault="00E815E0" w:rsidP="00E815E0">
      <w:pPr>
        <w:pStyle w:val="cb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Реализация воды предприятием составила 73%, 16% и 11% соответственно. Охват населения на 01.01.2021г. – 98%, 77% и 73% соответственно.</w:t>
      </w:r>
    </w:p>
    <w:p w:rsidR="00E815E0" w:rsidRPr="00E815E0" w:rsidRDefault="00E815E0" w:rsidP="006B528B">
      <w:pPr>
        <w:pStyle w:val="cb"/>
        <w:numPr>
          <w:ilvl w:val="0"/>
          <w:numId w:val="1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Сб</w:t>
      </w:r>
      <w:r w:rsidRPr="00E815E0">
        <w:rPr>
          <w:b w:val="0"/>
          <w:sz w:val="28"/>
          <w:szCs w:val="28"/>
        </w:rPr>
        <w:t xml:space="preserve">ор и очистка сточных вод </w:t>
      </w:r>
      <w:proofErr w:type="spellStart"/>
      <w:proofErr w:type="gramStart"/>
      <w:r w:rsidRPr="00E815E0">
        <w:rPr>
          <w:b w:val="0"/>
          <w:sz w:val="28"/>
          <w:szCs w:val="28"/>
        </w:rPr>
        <w:t>мун.Чадыр</w:t>
      </w:r>
      <w:proofErr w:type="gramEnd"/>
      <w:r w:rsidRPr="00E815E0">
        <w:rPr>
          <w:b w:val="0"/>
          <w:sz w:val="28"/>
          <w:szCs w:val="28"/>
        </w:rPr>
        <w:t>-Лунга</w:t>
      </w:r>
      <w:proofErr w:type="spellEnd"/>
      <w:r w:rsidRPr="00E815E0">
        <w:rPr>
          <w:b w:val="0"/>
          <w:sz w:val="28"/>
          <w:szCs w:val="28"/>
        </w:rPr>
        <w:t>.</w:t>
      </w:r>
      <w:r w:rsidR="000E0915">
        <w:rPr>
          <w:b w:val="0"/>
          <w:sz w:val="28"/>
          <w:szCs w:val="28"/>
        </w:rPr>
        <w:t xml:space="preserve"> Охват населения 64,2%.</w:t>
      </w:r>
    </w:p>
    <w:p w:rsidR="00E815E0" w:rsidRDefault="00E815E0" w:rsidP="004B2435">
      <w:pPr>
        <w:pStyle w:val="cb"/>
        <w:numPr>
          <w:ilvl w:val="0"/>
          <w:numId w:val="1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Прочие услуги (в </w:t>
      </w:r>
      <w:proofErr w:type="spellStart"/>
      <w:r>
        <w:rPr>
          <w:b w:val="0"/>
          <w:sz w:val="28"/>
          <w:szCs w:val="28"/>
        </w:rPr>
        <w:t>т.ч</w:t>
      </w:r>
      <w:proofErr w:type="spellEnd"/>
      <w:r>
        <w:rPr>
          <w:b w:val="0"/>
          <w:sz w:val="28"/>
          <w:szCs w:val="28"/>
        </w:rPr>
        <w:t>. транспортные услуги).</w:t>
      </w:r>
    </w:p>
    <w:p w:rsidR="004B2435" w:rsidRPr="004B2435" w:rsidRDefault="004B2435" w:rsidP="004B2435">
      <w:pPr>
        <w:pStyle w:val="cb"/>
        <w:jc w:val="both"/>
        <w:rPr>
          <w:b w:val="0"/>
          <w:sz w:val="28"/>
          <w:szCs w:val="28"/>
        </w:rPr>
      </w:pPr>
    </w:p>
    <w:p w:rsidR="000901B2" w:rsidRPr="000901B2" w:rsidRDefault="00BC63D2" w:rsidP="00BC63D2">
      <w:pPr>
        <w:pStyle w:val="cb"/>
        <w:numPr>
          <w:ilvl w:val="0"/>
          <w:numId w:val="9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0901B2" w:rsidRPr="000901B2">
        <w:rPr>
          <w:b w:val="0"/>
          <w:sz w:val="28"/>
          <w:szCs w:val="28"/>
        </w:rPr>
        <w:t>о состоянию на 05.05.2021</w:t>
      </w:r>
      <w:r w:rsidR="000901B2">
        <w:rPr>
          <w:b w:val="0"/>
          <w:sz w:val="28"/>
          <w:szCs w:val="28"/>
        </w:rPr>
        <w:t xml:space="preserve"> </w:t>
      </w:r>
      <w:r w:rsidR="000901B2" w:rsidRPr="000901B2">
        <w:rPr>
          <w:b w:val="0"/>
          <w:sz w:val="28"/>
          <w:szCs w:val="28"/>
        </w:rPr>
        <w:t xml:space="preserve">года тарифы при предоставлении/поставке публичной услуги водоснабжения, канализации и очистки сточных вод предприятием АО «APĂ-TERMO» </w:t>
      </w:r>
      <w:r w:rsidR="000901B2">
        <w:rPr>
          <w:b w:val="0"/>
          <w:sz w:val="28"/>
          <w:szCs w:val="28"/>
        </w:rPr>
        <w:t>составляют</w:t>
      </w:r>
      <w:r w:rsidR="000901B2" w:rsidRPr="000901B2">
        <w:rPr>
          <w:b w:val="0"/>
          <w:sz w:val="28"/>
          <w:szCs w:val="28"/>
        </w:rPr>
        <w:t>:</w:t>
      </w:r>
    </w:p>
    <w:p w:rsidR="000901B2" w:rsidRPr="000901B2" w:rsidRDefault="000901B2" w:rsidP="000901B2">
      <w:pPr>
        <w:pStyle w:val="cb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0901B2">
        <w:rPr>
          <w:b w:val="0"/>
          <w:sz w:val="28"/>
          <w:szCs w:val="28"/>
        </w:rPr>
        <w:t>публичная услуга предоставления/поставки питьевой воды для физических лиц – 16,20 лея/м³;</w:t>
      </w:r>
    </w:p>
    <w:p w:rsidR="000901B2" w:rsidRPr="000901B2" w:rsidRDefault="000901B2" w:rsidP="000901B2">
      <w:pPr>
        <w:pStyle w:val="cb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0901B2">
        <w:rPr>
          <w:b w:val="0"/>
          <w:sz w:val="28"/>
          <w:szCs w:val="28"/>
        </w:rPr>
        <w:t>публичная услуга предоставления/поставки питьевой воды для юридических лиц – 18,70 лея/м³;</w:t>
      </w:r>
    </w:p>
    <w:p w:rsidR="000901B2" w:rsidRPr="000901B2" w:rsidRDefault="000901B2" w:rsidP="000901B2">
      <w:pPr>
        <w:pStyle w:val="cb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0901B2">
        <w:rPr>
          <w:b w:val="0"/>
          <w:sz w:val="28"/>
          <w:szCs w:val="28"/>
        </w:rPr>
        <w:t>публичная услуга канализации и очистки сточных вод, предоставляемая/поставляемая для физических лиц – 18,18 лея/м³;</w:t>
      </w:r>
    </w:p>
    <w:p w:rsidR="000901B2" w:rsidRDefault="000901B2" w:rsidP="000901B2">
      <w:pPr>
        <w:pStyle w:val="cb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0901B2">
        <w:rPr>
          <w:b w:val="0"/>
          <w:sz w:val="28"/>
          <w:szCs w:val="28"/>
        </w:rPr>
        <w:t>публичная услуга канализации и очистки сточных вод, предоставляемая/поставляемая для юридических лиц – 30,00 леев/м³.</w:t>
      </w:r>
    </w:p>
    <w:p w:rsidR="000901B2" w:rsidRPr="000901B2" w:rsidRDefault="000901B2" w:rsidP="000901B2">
      <w:pPr>
        <w:pStyle w:val="cb"/>
        <w:ind w:left="720"/>
        <w:jc w:val="both"/>
        <w:rPr>
          <w:b w:val="0"/>
          <w:sz w:val="28"/>
          <w:szCs w:val="28"/>
        </w:rPr>
      </w:pPr>
    </w:p>
    <w:p w:rsidR="00C4747B" w:rsidRDefault="00C4747B" w:rsidP="00C4747B">
      <w:pPr>
        <w:spacing w:line="276" w:lineRule="auto"/>
        <w:ind w:firstLine="708"/>
        <w:jc w:val="right"/>
        <w:rPr>
          <w:i/>
        </w:rPr>
      </w:pPr>
    </w:p>
    <w:p w:rsidR="00C4747B" w:rsidRDefault="00C4747B" w:rsidP="00C4747B">
      <w:pPr>
        <w:spacing w:line="276" w:lineRule="auto"/>
        <w:ind w:firstLine="708"/>
        <w:jc w:val="right"/>
        <w:rPr>
          <w:i/>
        </w:rPr>
      </w:pPr>
    </w:p>
    <w:p w:rsidR="00C4747B" w:rsidRDefault="00C4747B" w:rsidP="00C4747B">
      <w:pPr>
        <w:spacing w:line="276" w:lineRule="auto"/>
        <w:ind w:firstLine="708"/>
        <w:jc w:val="right"/>
        <w:rPr>
          <w:i/>
        </w:rPr>
      </w:pPr>
    </w:p>
    <w:p w:rsidR="00C4747B" w:rsidRDefault="00C4747B" w:rsidP="00C4747B">
      <w:pPr>
        <w:spacing w:line="276" w:lineRule="auto"/>
        <w:ind w:firstLine="708"/>
        <w:jc w:val="right"/>
        <w:rPr>
          <w:i/>
        </w:rPr>
      </w:pPr>
    </w:p>
    <w:p w:rsidR="00C4747B" w:rsidRDefault="00C4747B" w:rsidP="00C4747B">
      <w:pPr>
        <w:spacing w:line="276" w:lineRule="auto"/>
        <w:ind w:firstLine="708"/>
        <w:jc w:val="right"/>
        <w:rPr>
          <w:i/>
        </w:rPr>
      </w:pPr>
    </w:p>
    <w:p w:rsidR="00E11C32" w:rsidRDefault="00E11C32" w:rsidP="00C4747B">
      <w:pPr>
        <w:spacing w:line="276" w:lineRule="auto"/>
        <w:ind w:firstLine="708"/>
        <w:jc w:val="right"/>
        <w:rPr>
          <w:i/>
        </w:rPr>
      </w:pPr>
    </w:p>
    <w:p w:rsidR="00E11C32" w:rsidRDefault="00E11C32" w:rsidP="00C4747B">
      <w:pPr>
        <w:spacing w:line="276" w:lineRule="auto"/>
        <w:ind w:firstLine="708"/>
        <w:jc w:val="right"/>
        <w:rPr>
          <w:i/>
        </w:rPr>
      </w:pPr>
    </w:p>
    <w:p w:rsidR="00C4747B" w:rsidRDefault="00C4747B" w:rsidP="00C4747B">
      <w:pPr>
        <w:spacing w:line="276" w:lineRule="auto"/>
        <w:ind w:firstLine="708"/>
        <w:jc w:val="right"/>
        <w:rPr>
          <w:i/>
        </w:rPr>
      </w:pPr>
    </w:p>
    <w:p w:rsidR="00C4747B" w:rsidRDefault="00C4747B" w:rsidP="00C4747B">
      <w:pPr>
        <w:spacing w:line="276" w:lineRule="auto"/>
        <w:ind w:firstLine="708"/>
        <w:jc w:val="right"/>
        <w:rPr>
          <w:i/>
        </w:rPr>
      </w:pPr>
    </w:p>
    <w:p w:rsidR="00633FA0" w:rsidRDefault="00633FA0" w:rsidP="00C4747B">
      <w:pPr>
        <w:spacing w:line="276" w:lineRule="auto"/>
        <w:ind w:firstLine="708"/>
        <w:jc w:val="right"/>
        <w:rPr>
          <w:i/>
        </w:rPr>
      </w:pPr>
    </w:p>
    <w:p w:rsidR="00C4747B" w:rsidRDefault="00C4747B" w:rsidP="00C4747B">
      <w:pPr>
        <w:spacing w:line="276" w:lineRule="auto"/>
        <w:ind w:firstLine="708"/>
        <w:jc w:val="right"/>
        <w:rPr>
          <w:i/>
        </w:rPr>
      </w:pPr>
      <w:r w:rsidRPr="000901B2">
        <w:rPr>
          <w:i/>
        </w:rPr>
        <w:lastRenderedPageBreak/>
        <w:t>Диаграмма №</w:t>
      </w:r>
      <w:r>
        <w:rPr>
          <w:i/>
        </w:rPr>
        <w:t>1</w:t>
      </w:r>
    </w:p>
    <w:p w:rsidR="00C4747B" w:rsidRPr="000901B2" w:rsidRDefault="00C4747B" w:rsidP="00C4747B">
      <w:pPr>
        <w:spacing w:line="276" w:lineRule="auto"/>
        <w:ind w:firstLine="708"/>
        <w:jc w:val="right"/>
        <w:rPr>
          <w:i/>
        </w:rPr>
      </w:pPr>
    </w:p>
    <w:p w:rsidR="00F92099" w:rsidRDefault="00C34234" w:rsidP="0066652B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35BB2B7" wp14:editId="7A4D2001">
            <wp:extent cx="6048375" cy="37814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t xml:space="preserve"> </w:t>
      </w:r>
    </w:p>
    <w:p w:rsidR="00C34234" w:rsidRDefault="00C34234" w:rsidP="0066652B">
      <w:pPr>
        <w:spacing w:line="276" w:lineRule="auto"/>
        <w:jc w:val="center"/>
        <w:rPr>
          <w:b/>
          <w:sz w:val="28"/>
          <w:szCs w:val="28"/>
        </w:rPr>
      </w:pPr>
    </w:p>
    <w:p w:rsidR="00DE5945" w:rsidRPr="00DE5945" w:rsidRDefault="0055190D" w:rsidP="00D1019F">
      <w:pPr>
        <w:spacing w:line="276" w:lineRule="auto"/>
        <w:ind w:firstLine="708"/>
        <w:jc w:val="both"/>
        <w:rPr>
          <w:sz w:val="28"/>
          <w:szCs w:val="28"/>
        </w:rPr>
      </w:pPr>
      <w:r w:rsidRPr="0055190D">
        <w:rPr>
          <w:sz w:val="28"/>
          <w:szCs w:val="28"/>
        </w:rPr>
        <w:t xml:space="preserve">Из </w:t>
      </w:r>
      <w:r w:rsidR="000901B2">
        <w:rPr>
          <w:sz w:val="28"/>
          <w:szCs w:val="28"/>
        </w:rPr>
        <w:t>диаграммы</w:t>
      </w:r>
      <w:r w:rsidRPr="0055190D">
        <w:rPr>
          <w:sz w:val="28"/>
          <w:szCs w:val="28"/>
        </w:rPr>
        <w:t xml:space="preserve"> видно, что </w:t>
      </w:r>
      <w:r>
        <w:rPr>
          <w:sz w:val="28"/>
          <w:szCs w:val="28"/>
        </w:rPr>
        <w:t xml:space="preserve">в 2018 году прибыль </w:t>
      </w:r>
      <w:r w:rsidR="005B4D37" w:rsidRPr="00E41EF8">
        <w:rPr>
          <w:sz w:val="28"/>
          <w:szCs w:val="28"/>
        </w:rPr>
        <w:t>АО «APĂ-TERMO»</w:t>
      </w:r>
      <w:r w:rsidR="00DE5945">
        <w:rPr>
          <w:sz w:val="28"/>
          <w:szCs w:val="28"/>
        </w:rPr>
        <w:t xml:space="preserve"> составляла свыше 2 </w:t>
      </w:r>
      <w:proofErr w:type="spellStart"/>
      <w:proofErr w:type="gramStart"/>
      <w:r w:rsidR="00DE5945">
        <w:rPr>
          <w:sz w:val="28"/>
          <w:szCs w:val="28"/>
        </w:rPr>
        <w:t>млн.</w:t>
      </w:r>
      <w:r>
        <w:rPr>
          <w:sz w:val="28"/>
          <w:szCs w:val="28"/>
        </w:rPr>
        <w:t>леев</w:t>
      </w:r>
      <w:proofErr w:type="spellEnd"/>
      <w:proofErr w:type="gramEnd"/>
      <w:r>
        <w:rPr>
          <w:sz w:val="28"/>
          <w:szCs w:val="28"/>
        </w:rPr>
        <w:t xml:space="preserve">, тогда как в 2020 году предприятие понесло </w:t>
      </w:r>
      <w:r w:rsidRPr="00DE5945">
        <w:rPr>
          <w:sz w:val="28"/>
          <w:szCs w:val="28"/>
          <w:u w:val="single"/>
        </w:rPr>
        <w:t>убытки</w:t>
      </w:r>
      <w:r>
        <w:rPr>
          <w:sz w:val="28"/>
          <w:szCs w:val="28"/>
        </w:rPr>
        <w:t xml:space="preserve"> в размере 169,1 </w:t>
      </w:r>
      <w:proofErr w:type="spellStart"/>
      <w:r>
        <w:rPr>
          <w:sz w:val="28"/>
          <w:szCs w:val="28"/>
        </w:rPr>
        <w:t>тыс.леев</w:t>
      </w:r>
      <w:proofErr w:type="spellEnd"/>
      <w:r>
        <w:rPr>
          <w:sz w:val="28"/>
          <w:szCs w:val="28"/>
        </w:rPr>
        <w:t>.</w:t>
      </w:r>
      <w:r w:rsidR="00DE5945">
        <w:rPr>
          <w:sz w:val="28"/>
          <w:szCs w:val="28"/>
        </w:rPr>
        <w:t xml:space="preserve"> Данный показатель образовался </w:t>
      </w:r>
      <w:r w:rsidR="00DE5945" w:rsidRPr="00DE5945">
        <w:rPr>
          <w:sz w:val="28"/>
          <w:szCs w:val="28"/>
        </w:rPr>
        <w:t>при</w:t>
      </w:r>
      <w:r w:rsidR="00DE5945">
        <w:rPr>
          <w:sz w:val="28"/>
          <w:szCs w:val="28"/>
        </w:rPr>
        <w:t xml:space="preserve"> условии повышения</w:t>
      </w:r>
      <w:r w:rsidR="00DE5945" w:rsidRPr="00DE5945">
        <w:rPr>
          <w:sz w:val="28"/>
          <w:szCs w:val="28"/>
        </w:rPr>
        <w:t xml:space="preserve"> тарифов на предоставление публичной услуги водоснабжения и канализации </w:t>
      </w:r>
      <w:r w:rsidR="00DE5945">
        <w:rPr>
          <w:sz w:val="28"/>
          <w:szCs w:val="28"/>
        </w:rPr>
        <w:t xml:space="preserve">в Чадыр-Лунге </w:t>
      </w:r>
      <w:r w:rsidR="00DE5945" w:rsidRPr="00DE5945">
        <w:rPr>
          <w:sz w:val="28"/>
          <w:szCs w:val="28"/>
        </w:rPr>
        <w:t>с</w:t>
      </w:r>
      <w:r w:rsidR="005B4D37">
        <w:rPr>
          <w:sz w:val="28"/>
          <w:szCs w:val="28"/>
        </w:rPr>
        <w:t xml:space="preserve"> декабря </w:t>
      </w:r>
      <w:r w:rsidR="00DE5945" w:rsidRPr="00DE5945">
        <w:rPr>
          <w:sz w:val="28"/>
          <w:szCs w:val="28"/>
        </w:rPr>
        <w:t>2019г., тогда как в предыдущие годы (без повышения тарифов), предприятие выходило с прибылью.</w:t>
      </w:r>
    </w:p>
    <w:p w:rsidR="00DE5945" w:rsidRPr="00DE5945" w:rsidRDefault="00DE5945" w:rsidP="00D1019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E5945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году </w:t>
      </w:r>
      <w:r w:rsidRPr="00DE5945">
        <w:rPr>
          <w:sz w:val="28"/>
          <w:szCs w:val="28"/>
        </w:rPr>
        <w:t xml:space="preserve">- 84,3 </w:t>
      </w:r>
      <w:proofErr w:type="spellStart"/>
      <w:proofErr w:type="gramStart"/>
      <w:r>
        <w:rPr>
          <w:sz w:val="28"/>
          <w:szCs w:val="28"/>
        </w:rPr>
        <w:t>тыс.леев</w:t>
      </w:r>
      <w:proofErr w:type="spellEnd"/>
      <w:proofErr w:type="gramEnd"/>
      <w:r w:rsidRPr="00DE5945">
        <w:rPr>
          <w:sz w:val="28"/>
          <w:szCs w:val="28"/>
        </w:rPr>
        <w:t>.</w:t>
      </w:r>
    </w:p>
    <w:p w:rsidR="00DE5945" w:rsidRPr="00DE5945" w:rsidRDefault="00DE5945" w:rsidP="00D1019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E5945">
        <w:rPr>
          <w:sz w:val="28"/>
          <w:szCs w:val="28"/>
        </w:rPr>
        <w:t xml:space="preserve">2018 </w:t>
      </w:r>
      <w:r>
        <w:rPr>
          <w:sz w:val="28"/>
          <w:szCs w:val="28"/>
        </w:rPr>
        <w:t>–</w:t>
      </w:r>
      <w:r w:rsidRPr="00DE5945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млн. </w:t>
      </w:r>
      <w:r w:rsidRPr="00DE5945">
        <w:rPr>
          <w:sz w:val="28"/>
          <w:szCs w:val="28"/>
        </w:rPr>
        <w:t>413</w:t>
      </w:r>
      <w:r>
        <w:rPr>
          <w:sz w:val="28"/>
          <w:szCs w:val="28"/>
        </w:rPr>
        <w:t>,</w:t>
      </w:r>
      <w:r w:rsidRPr="00DE594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тыс.леев</w:t>
      </w:r>
      <w:proofErr w:type="spellEnd"/>
      <w:proofErr w:type="gramEnd"/>
      <w:r w:rsidRPr="00DE5945">
        <w:rPr>
          <w:sz w:val="28"/>
          <w:szCs w:val="28"/>
        </w:rPr>
        <w:t>.</w:t>
      </w:r>
    </w:p>
    <w:p w:rsidR="00DE5945" w:rsidRDefault="00DE5945" w:rsidP="00D1019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E5945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году </w:t>
      </w:r>
      <w:r w:rsidRPr="00DE5945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составила </w:t>
      </w:r>
      <w:r w:rsidRPr="00DE5945">
        <w:rPr>
          <w:sz w:val="28"/>
          <w:szCs w:val="28"/>
        </w:rPr>
        <w:t>144,4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тыс.леев</w:t>
      </w:r>
      <w:proofErr w:type="spellEnd"/>
      <w:proofErr w:type="gramEnd"/>
      <w:r w:rsidRPr="00DE5945">
        <w:rPr>
          <w:sz w:val="28"/>
          <w:szCs w:val="28"/>
        </w:rPr>
        <w:t>.</w:t>
      </w:r>
    </w:p>
    <w:p w:rsidR="00976F68" w:rsidRPr="00753C11" w:rsidRDefault="00976F68" w:rsidP="00D1019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году, после повышения тарифов в </w:t>
      </w:r>
      <w:proofErr w:type="spellStart"/>
      <w:proofErr w:type="gramStart"/>
      <w:r>
        <w:rPr>
          <w:sz w:val="28"/>
          <w:szCs w:val="28"/>
        </w:rPr>
        <w:t>мун.Чадыр</w:t>
      </w:r>
      <w:proofErr w:type="gramEnd"/>
      <w:r>
        <w:rPr>
          <w:sz w:val="28"/>
          <w:szCs w:val="28"/>
        </w:rPr>
        <w:t>-Лунга</w:t>
      </w:r>
      <w:proofErr w:type="spellEnd"/>
      <w:r>
        <w:rPr>
          <w:sz w:val="28"/>
          <w:szCs w:val="28"/>
        </w:rPr>
        <w:t xml:space="preserve"> на воду и водоотведение, предприятие получило прибыль около 2,03 </w:t>
      </w:r>
      <w:proofErr w:type="spellStart"/>
      <w:r>
        <w:rPr>
          <w:sz w:val="28"/>
          <w:szCs w:val="28"/>
        </w:rPr>
        <w:t>млн.леев</w:t>
      </w:r>
      <w:proofErr w:type="spellEnd"/>
      <w:r>
        <w:rPr>
          <w:sz w:val="28"/>
          <w:szCs w:val="28"/>
        </w:rPr>
        <w:t xml:space="preserve"> от операционной (основной) деятельности, но из-за превышения убытков других видов деятельности в размере около 2,</w:t>
      </w:r>
      <w:r w:rsidR="00AC40BD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млн.леев</w:t>
      </w:r>
      <w:proofErr w:type="spellEnd"/>
      <w:r>
        <w:rPr>
          <w:sz w:val="28"/>
          <w:szCs w:val="28"/>
        </w:rPr>
        <w:t xml:space="preserve"> предприятие закончило год с убытками.  </w:t>
      </w:r>
    </w:p>
    <w:p w:rsidR="00983887" w:rsidRDefault="005B4D37" w:rsidP="00D1019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53C11">
        <w:rPr>
          <w:sz w:val="28"/>
          <w:szCs w:val="28"/>
        </w:rPr>
        <w:t>дной из главных причин</w:t>
      </w:r>
      <w:r w:rsidR="0055190D">
        <w:rPr>
          <w:sz w:val="28"/>
          <w:szCs w:val="28"/>
        </w:rPr>
        <w:t xml:space="preserve"> убытков</w:t>
      </w:r>
      <w:r w:rsidR="00753C11">
        <w:rPr>
          <w:sz w:val="28"/>
          <w:szCs w:val="28"/>
        </w:rPr>
        <w:t xml:space="preserve"> </w:t>
      </w:r>
      <w:r w:rsidR="0055190D">
        <w:rPr>
          <w:sz w:val="28"/>
          <w:szCs w:val="28"/>
        </w:rPr>
        <w:t xml:space="preserve">от операционной деятельности </w:t>
      </w:r>
      <w:r w:rsidR="00753C11">
        <w:rPr>
          <w:sz w:val="28"/>
          <w:szCs w:val="28"/>
        </w:rPr>
        <w:t>является р</w:t>
      </w:r>
      <w:r w:rsidR="0055190D" w:rsidRPr="00753C11">
        <w:rPr>
          <w:sz w:val="28"/>
          <w:szCs w:val="28"/>
        </w:rPr>
        <w:t>ост себестоимост</w:t>
      </w:r>
      <w:r w:rsidR="008676F4" w:rsidRPr="00753C11">
        <w:rPr>
          <w:sz w:val="28"/>
          <w:szCs w:val="28"/>
        </w:rPr>
        <w:t>и продаж над доходами от продаж, а на уровень себестоимости продаж повлияли сверхнормативные потери по воде и канализации</w:t>
      </w:r>
      <w:r w:rsidR="00983887">
        <w:rPr>
          <w:sz w:val="28"/>
          <w:szCs w:val="28"/>
        </w:rPr>
        <w:t>.</w:t>
      </w:r>
      <w:r w:rsidR="00E9559D">
        <w:rPr>
          <w:sz w:val="28"/>
          <w:szCs w:val="28"/>
        </w:rPr>
        <w:t xml:space="preserve"> В 2020 году потери составили 38</w:t>
      </w:r>
      <w:r w:rsidR="00BC63D2">
        <w:rPr>
          <w:sz w:val="28"/>
          <w:szCs w:val="28"/>
        </w:rPr>
        <w:t>,3</w:t>
      </w:r>
      <w:r w:rsidR="00E9559D">
        <w:rPr>
          <w:sz w:val="28"/>
          <w:szCs w:val="28"/>
        </w:rPr>
        <w:t xml:space="preserve">% из 100.  </w:t>
      </w:r>
      <w:r w:rsidR="00BC63D2">
        <w:rPr>
          <w:sz w:val="28"/>
          <w:szCs w:val="28"/>
        </w:rPr>
        <w:t>Норматив потерь, включённый в тариф</w:t>
      </w:r>
      <w:r>
        <w:rPr>
          <w:sz w:val="28"/>
          <w:szCs w:val="28"/>
        </w:rPr>
        <w:t xml:space="preserve">, в 2019 </w:t>
      </w:r>
      <w:proofErr w:type="gramStart"/>
      <w:r>
        <w:rPr>
          <w:sz w:val="28"/>
          <w:szCs w:val="28"/>
        </w:rPr>
        <w:t xml:space="preserve">году </w:t>
      </w:r>
      <w:r w:rsidR="00BC63D2">
        <w:rPr>
          <w:sz w:val="28"/>
          <w:szCs w:val="28"/>
        </w:rPr>
        <w:t xml:space="preserve"> составил</w:t>
      </w:r>
      <w:proofErr w:type="gramEnd"/>
      <w:r w:rsidR="00BC63D2">
        <w:rPr>
          <w:sz w:val="28"/>
          <w:szCs w:val="28"/>
        </w:rPr>
        <w:t xml:space="preserve"> 6,4%.</w:t>
      </w:r>
    </w:p>
    <w:p w:rsidR="008676F4" w:rsidRDefault="00983887" w:rsidP="00D1019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53C11" w:rsidRPr="00753C11">
        <w:rPr>
          <w:sz w:val="28"/>
          <w:szCs w:val="28"/>
        </w:rPr>
        <w:t>ост себестоимости продаж в 2019 году связан</w:t>
      </w:r>
      <w:r w:rsidR="004F6E5A">
        <w:rPr>
          <w:sz w:val="28"/>
          <w:szCs w:val="28"/>
        </w:rPr>
        <w:t xml:space="preserve">, </w:t>
      </w:r>
      <w:r w:rsidR="00D70632">
        <w:rPr>
          <w:sz w:val="28"/>
          <w:szCs w:val="28"/>
        </w:rPr>
        <w:t>так же</w:t>
      </w:r>
      <w:r w:rsidR="004F6E5A">
        <w:rPr>
          <w:sz w:val="28"/>
          <w:szCs w:val="28"/>
        </w:rPr>
        <w:t>,</w:t>
      </w:r>
      <w:r w:rsidR="00753C11" w:rsidRPr="00753C11">
        <w:rPr>
          <w:sz w:val="28"/>
          <w:szCs w:val="28"/>
        </w:rPr>
        <w:t xml:space="preserve"> с выплатой части кредита за водопроводные сети сёл </w:t>
      </w:r>
      <w:proofErr w:type="spellStart"/>
      <w:r w:rsidR="00753C11" w:rsidRPr="00753C11">
        <w:rPr>
          <w:sz w:val="28"/>
          <w:szCs w:val="28"/>
        </w:rPr>
        <w:t>Казаклия</w:t>
      </w:r>
      <w:proofErr w:type="spellEnd"/>
      <w:r w:rsidR="00753C11" w:rsidRPr="00753C11">
        <w:rPr>
          <w:sz w:val="28"/>
          <w:szCs w:val="28"/>
        </w:rPr>
        <w:t xml:space="preserve"> и </w:t>
      </w:r>
      <w:proofErr w:type="spellStart"/>
      <w:r w:rsidR="00753C11" w:rsidRPr="00753C11">
        <w:rPr>
          <w:sz w:val="28"/>
          <w:szCs w:val="28"/>
        </w:rPr>
        <w:t>Баурчи</w:t>
      </w:r>
      <w:proofErr w:type="spellEnd"/>
      <w:r w:rsidR="00753C11">
        <w:rPr>
          <w:sz w:val="28"/>
          <w:szCs w:val="28"/>
        </w:rPr>
        <w:t xml:space="preserve">. </w:t>
      </w:r>
      <w:r w:rsidR="00D70632">
        <w:rPr>
          <w:sz w:val="28"/>
          <w:szCs w:val="28"/>
        </w:rPr>
        <w:t>П</w:t>
      </w:r>
      <w:r w:rsidR="007A1376">
        <w:rPr>
          <w:sz w:val="28"/>
          <w:szCs w:val="28"/>
        </w:rPr>
        <w:t xml:space="preserve">о информации </w:t>
      </w:r>
      <w:proofErr w:type="spellStart"/>
      <w:r w:rsidR="007A1376">
        <w:rPr>
          <w:sz w:val="28"/>
          <w:szCs w:val="28"/>
        </w:rPr>
        <w:t>примэрии</w:t>
      </w:r>
      <w:proofErr w:type="spellEnd"/>
      <w:r w:rsidR="007A1376">
        <w:rPr>
          <w:sz w:val="28"/>
          <w:szCs w:val="28"/>
        </w:rPr>
        <w:t xml:space="preserve">, предприятие несёт </w:t>
      </w:r>
      <w:r w:rsidR="004077E1">
        <w:rPr>
          <w:sz w:val="28"/>
          <w:szCs w:val="28"/>
        </w:rPr>
        <w:t>и</w:t>
      </w:r>
      <w:r w:rsidR="00EB4AE7">
        <w:rPr>
          <w:sz w:val="28"/>
          <w:szCs w:val="28"/>
        </w:rPr>
        <w:t xml:space="preserve"> другие</w:t>
      </w:r>
      <w:r w:rsidR="004077E1">
        <w:rPr>
          <w:sz w:val="28"/>
          <w:szCs w:val="28"/>
        </w:rPr>
        <w:t xml:space="preserve"> </w:t>
      </w:r>
      <w:r w:rsidR="007A1376">
        <w:rPr>
          <w:sz w:val="28"/>
          <w:szCs w:val="28"/>
        </w:rPr>
        <w:t xml:space="preserve">расходы </w:t>
      </w:r>
      <w:r w:rsidR="00EB4AE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содержанию и </w:t>
      </w:r>
      <w:r w:rsidR="00EB4AE7">
        <w:rPr>
          <w:sz w:val="28"/>
          <w:szCs w:val="28"/>
        </w:rPr>
        <w:t>обслуживанию</w:t>
      </w:r>
      <w:r>
        <w:rPr>
          <w:sz w:val="28"/>
          <w:szCs w:val="28"/>
        </w:rPr>
        <w:t xml:space="preserve"> данных</w:t>
      </w:r>
      <w:r w:rsidR="007A1376">
        <w:rPr>
          <w:sz w:val="28"/>
          <w:szCs w:val="28"/>
        </w:rPr>
        <w:t xml:space="preserve"> сет</w:t>
      </w:r>
      <w:r>
        <w:rPr>
          <w:sz w:val="28"/>
          <w:szCs w:val="28"/>
        </w:rPr>
        <w:t>ей</w:t>
      </w:r>
      <w:r w:rsidR="007A1376">
        <w:rPr>
          <w:sz w:val="28"/>
          <w:szCs w:val="28"/>
        </w:rPr>
        <w:t xml:space="preserve">, которые не покрываются доходами от данных сёл. </w:t>
      </w:r>
      <w:proofErr w:type="spellStart"/>
      <w:r w:rsidR="007A1376">
        <w:rPr>
          <w:sz w:val="28"/>
          <w:szCs w:val="28"/>
        </w:rPr>
        <w:t>Т.о</w:t>
      </w:r>
      <w:proofErr w:type="spellEnd"/>
      <w:r w:rsidR="007A1376">
        <w:rPr>
          <w:sz w:val="28"/>
          <w:szCs w:val="28"/>
        </w:rPr>
        <w:t xml:space="preserve">. </w:t>
      </w:r>
      <w:r w:rsidR="004F6E5A">
        <w:rPr>
          <w:sz w:val="28"/>
          <w:szCs w:val="28"/>
        </w:rPr>
        <w:t xml:space="preserve">часть </w:t>
      </w:r>
      <w:r w:rsidR="007A1376">
        <w:rPr>
          <w:sz w:val="28"/>
          <w:szCs w:val="28"/>
        </w:rPr>
        <w:t>финанс</w:t>
      </w:r>
      <w:r w:rsidR="004F6E5A">
        <w:rPr>
          <w:sz w:val="28"/>
          <w:szCs w:val="28"/>
        </w:rPr>
        <w:t>ов</w:t>
      </w:r>
      <w:r w:rsidR="007A1376">
        <w:rPr>
          <w:sz w:val="28"/>
          <w:szCs w:val="28"/>
        </w:rPr>
        <w:t xml:space="preserve">, </w:t>
      </w:r>
      <w:r w:rsidR="007A1376">
        <w:rPr>
          <w:sz w:val="28"/>
          <w:szCs w:val="28"/>
        </w:rPr>
        <w:lastRenderedPageBreak/>
        <w:t>собранны</w:t>
      </w:r>
      <w:r w:rsidR="004F6E5A">
        <w:rPr>
          <w:sz w:val="28"/>
          <w:szCs w:val="28"/>
        </w:rPr>
        <w:t>х</w:t>
      </w:r>
      <w:r w:rsidR="007A1376">
        <w:rPr>
          <w:sz w:val="28"/>
          <w:szCs w:val="28"/>
        </w:rPr>
        <w:t xml:space="preserve"> от потребителей </w:t>
      </w:r>
      <w:proofErr w:type="spellStart"/>
      <w:proofErr w:type="gramStart"/>
      <w:r w:rsidR="007A1376">
        <w:rPr>
          <w:sz w:val="28"/>
          <w:szCs w:val="28"/>
        </w:rPr>
        <w:t>мун.Чадыр</w:t>
      </w:r>
      <w:proofErr w:type="gramEnd"/>
      <w:r w:rsidR="007A1376">
        <w:rPr>
          <w:sz w:val="28"/>
          <w:szCs w:val="28"/>
        </w:rPr>
        <w:t>-Лунга</w:t>
      </w:r>
      <w:proofErr w:type="spellEnd"/>
      <w:r w:rsidR="007A1376">
        <w:rPr>
          <w:sz w:val="28"/>
          <w:szCs w:val="28"/>
        </w:rPr>
        <w:t xml:space="preserve">, расходуются на содержание и обслуживание водопроводных сетей </w:t>
      </w:r>
      <w:proofErr w:type="spellStart"/>
      <w:r w:rsidRPr="00753C11">
        <w:rPr>
          <w:sz w:val="28"/>
          <w:szCs w:val="28"/>
        </w:rPr>
        <w:t>Казакли</w:t>
      </w:r>
      <w:r>
        <w:rPr>
          <w:sz w:val="28"/>
          <w:szCs w:val="28"/>
        </w:rPr>
        <w:t>и</w:t>
      </w:r>
      <w:proofErr w:type="spellEnd"/>
      <w:r w:rsidRPr="00753C11">
        <w:rPr>
          <w:sz w:val="28"/>
          <w:szCs w:val="28"/>
        </w:rPr>
        <w:t xml:space="preserve"> и </w:t>
      </w:r>
      <w:proofErr w:type="spellStart"/>
      <w:r w:rsidRPr="00753C11">
        <w:rPr>
          <w:sz w:val="28"/>
          <w:szCs w:val="28"/>
        </w:rPr>
        <w:t>Баурчи</w:t>
      </w:r>
      <w:proofErr w:type="spellEnd"/>
      <w:r w:rsidR="007A1376">
        <w:rPr>
          <w:sz w:val="28"/>
          <w:szCs w:val="28"/>
        </w:rPr>
        <w:t>.</w:t>
      </w:r>
    </w:p>
    <w:p w:rsidR="00976F68" w:rsidRDefault="00976F68" w:rsidP="00D1019F">
      <w:pPr>
        <w:spacing w:line="276" w:lineRule="auto"/>
        <w:jc w:val="both"/>
        <w:rPr>
          <w:sz w:val="28"/>
          <w:szCs w:val="28"/>
        </w:rPr>
      </w:pPr>
      <w:r w:rsidRPr="00D90AAD">
        <w:rPr>
          <w:sz w:val="28"/>
          <w:szCs w:val="28"/>
        </w:rPr>
        <w:tab/>
      </w:r>
      <w:r>
        <w:rPr>
          <w:sz w:val="28"/>
          <w:szCs w:val="28"/>
        </w:rPr>
        <w:t>Доля кредитных обязательств 2-х сёл, обслуживание водопроводных</w:t>
      </w:r>
      <w:r w:rsidRPr="00D90AAD">
        <w:rPr>
          <w:sz w:val="28"/>
          <w:szCs w:val="28"/>
        </w:rPr>
        <w:t xml:space="preserve"> сет</w:t>
      </w:r>
      <w:r>
        <w:rPr>
          <w:sz w:val="28"/>
          <w:szCs w:val="28"/>
        </w:rPr>
        <w:t>ей</w:t>
      </w:r>
      <w:r w:rsidRPr="00D90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 </w:t>
      </w:r>
      <w:r w:rsidRPr="00B61DAC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AP</w:t>
      </w:r>
      <w:r>
        <w:rPr>
          <w:sz w:val="28"/>
          <w:szCs w:val="28"/>
          <w:lang w:val="ro-MD"/>
        </w:rPr>
        <w:t>Ă-TERMO</w:t>
      </w:r>
      <w:r w:rsidRPr="00B61D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90AAD">
        <w:rPr>
          <w:sz w:val="28"/>
          <w:szCs w:val="28"/>
        </w:rPr>
        <w:t>взяло на себя</w:t>
      </w:r>
      <w:r>
        <w:rPr>
          <w:sz w:val="28"/>
          <w:szCs w:val="28"/>
        </w:rPr>
        <w:t>, составляет</w:t>
      </w:r>
      <w:r w:rsidRPr="00D90AAD">
        <w:rPr>
          <w:sz w:val="28"/>
          <w:szCs w:val="28"/>
        </w:rPr>
        <w:t xml:space="preserve"> почти 429 </w:t>
      </w:r>
      <w:proofErr w:type="spellStart"/>
      <w:proofErr w:type="gramStart"/>
      <w:r w:rsidRPr="00D90AAD">
        <w:rPr>
          <w:sz w:val="28"/>
          <w:szCs w:val="28"/>
        </w:rPr>
        <w:t>тыс.евро</w:t>
      </w:r>
      <w:proofErr w:type="spellEnd"/>
      <w:proofErr w:type="gramEnd"/>
      <w:r w:rsidRPr="00D90A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90AAD">
        <w:rPr>
          <w:sz w:val="28"/>
          <w:szCs w:val="28"/>
        </w:rPr>
        <w:t>примерно 8</w:t>
      </w:r>
      <w:r>
        <w:rPr>
          <w:sz w:val="28"/>
          <w:szCs w:val="28"/>
        </w:rPr>
        <w:t> 580 000</w:t>
      </w:r>
      <w:r w:rsidRPr="00D90AAD">
        <w:rPr>
          <w:sz w:val="28"/>
          <w:szCs w:val="28"/>
        </w:rPr>
        <w:t xml:space="preserve"> леев</w:t>
      </w:r>
      <w:r>
        <w:rPr>
          <w:sz w:val="28"/>
          <w:szCs w:val="28"/>
        </w:rPr>
        <w:t>)</w:t>
      </w:r>
      <w:r w:rsidRPr="00D90A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077E1" w:rsidRDefault="004077E1" w:rsidP="00D1019F">
      <w:pPr>
        <w:spacing w:line="276" w:lineRule="auto"/>
        <w:ind w:firstLine="708"/>
        <w:jc w:val="both"/>
        <w:rPr>
          <w:i/>
        </w:rPr>
      </w:pPr>
      <w:r w:rsidRPr="004F6E5A">
        <w:rPr>
          <w:i/>
        </w:rPr>
        <w:t>(</w:t>
      </w:r>
      <w:proofErr w:type="spellStart"/>
      <w:r w:rsidR="00633FA0">
        <w:rPr>
          <w:i/>
        </w:rPr>
        <w:t>П</w:t>
      </w:r>
      <w:r w:rsidR="00983887" w:rsidRPr="004F6E5A">
        <w:rPr>
          <w:i/>
        </w:rPr>
        <w:t>римэрия</w:t>
      </w:r>
      <w:proofErr w:type="spellEnd"/>
      <w:r w:rsidR="00983887" w:rsidRPr="004F6E5A">
        <w:rPr>
          <w:i/>
        </w:rPr>
        <w:t xml:space="preserve"> </w:t>
      </w:r>
      <w:proofErr w:type="spellStart"/>
      <w:proofErr w:type="gramStart"/>
      <w:r w:rsidR="00983887" w:rsidRPr="004F6E5A">
        <w:rPr>
          <w:i/>
        </w:rPr>
        <w:t>мун.Чадыр</w:t>
      </w:r>
      <w:proofErr w:type="gramEnd"/>
      <w:r w:rsidR="00983887" w:rsidRPr="004F6E5A">
        <w:rPr>
          <w:i/>
        </w:rPr>
        <w:t>-Лунга</w:t>
      </w:r>
      <w:proofErr w:type="spellEnd"/>
      <w:r w:rsidR="004F6E5A" w:rsidRPr="004F6E5A">
        <w:rPr>
          <w:i/>
        </w:rPr>
        <w:t xml:space="preserve"> запросила информацию </w:t>
      </w:r>
      <w:r w:rsidR="00F66CA5">
        <w:rPr>
          <w:i/>
        </w:rPr>
        <w:t>п</w:t>
      </w:r>
      <w:r w:rsidR="004F6E5A" w:rsidRPr="004F6E5A">
        <w:rPr>
          <w:i/>
        </w:rPr>
        <w:t xml:space="preserve">о </w:t>
      </w:r>
      <w:r w:rsidR="00F66CA5">
        <w:rPr>
          <w:i/>
        </w:rPr>
        <w:t xml:space="preserve">подтверждению или опровержению </w:t>
      </w:r>
      <w:r w:rsidR="004F6E5A" w:rsidRPr="004F6E5A">
        <w:rPr>
          <w:i/>
        </w:rPr>
        <w:t>данных факт</w:t>
      </w:r>
      <w:r w:rsidR="00F66CA5">
        <w:rPr>
          <w:i/>
        </w:rPr>
        <w:t>ов</w:t>
      </w:r>
      <w:r w:rsidR="00A90B4F">
        <w:rPr>
          <w:i/>
        </w:rPr>
        <w:t xml:space="preserve">, в </w:t>
      </w:r>
      <w:proofErr w:type="spellStart"/>
      <w:r w:rsidR="00A90B4F">
        <w:rPr>
          <w:i/>
        </w:rPr>
        <w:t>т.ч</w:t>
      </w:r>
      <w:proofErr w:type="spellEnd"/>
      <w:r w:rsidR="00A90B4F">
        <w:rPr>
          <w:i/>
        </w:rPr>
        <w:t>. доходы от продаж и расходы по 2-м сёлам</w:t>
      </w:r>
      <w:r w:rsidR="004F6E5A" w:rsidRPr="004F6E5A">
        <w:rPr>
          <w:i/>
        </w:rPr>
        <w:t>,</w:t>
      </w:r>
      <w:r w:rsidR="00D70632">
        <w:rPr>
          <w:i/>
        </w:rPr>
        <w:t xml:space="preserve"> оплата кредита за них,</w:t>
      </w:r>
      <w:r w:rsidR="004F6E5A" w:rsidRPr="004F6E5A">
        <w:rPr>
          <w:i/>
        </w:rPr>
        <w:t xml:space="preserve"> но</w:t>
      </w:r>
      <w:r w:rsidR="00983887" w:rsidRPr="004F6E5A">
        <w:rPr>
          <w:i/>
        </w:rPr>
        <w:t xml:space="preserve"> </w:t>
      </w:r>
      <w:r w:rsidRPr="004F6E5A">
        <w:rPr>
          <w:i/>
        </w:rPr>
        <w:t xml:space="preserve">«APĂ-TERMO» </w:t>
      </w:r>
      <w:r w:rsidR="00D70632">
        <w:rPr>
          <w:i/>
        </w:rPr>
        <w:t xml:space="preserve">пока </w:t>
      </w:r>
      <w:r w:rsidRPr="004F6E5A">
        <w:rPr>
          <w:i/>
        </w:rPr>
        <w:t>не представил</w:t>
      </w:r>
      <w:r w:rsidR="004F6E5A" w:rsidRPr="004F6E5A">
        <w:rPr>
          <w:i/>
        </w:rPr>
        <w:t>о</w:t>
      </w:r>
      <w:r w:rsidRPr="004F6E5A">
        <w:rPr>
          <w:i/>
        </w:rPr>
        <w:t xml:space="preserve"> данную информацию)</w:t>
      </w:r>
      <w:r w:rsidR="004F6E5A" w:rsidRPr="004F6E5A">
        <w:rPr>
          <w:i/>
        </w:rPr>
        <w:t>.</w:t>
      </w:r>
    </w:p>
    <w:p w:rsidR="00F92099" w:rsidRPr="00D1019F" w:rsidRDefault="00D1019F" w:rsidP="00D1019F">
      <w:pPr>
        <w:spacing w:line="276" w:lineRule="auto"/>
        <w:jc w:val="both"/>
        <w:rPr>
          <w:sz w:val="28"/>
          <w:szCs w:val="28"/>
        </w:rPr>
      </w:pPr>
      <w:r w:rsidRPr="00D1019F">
        <w:rPr>
          <w:sz w:val="28"/>
          <w:szCs w:val="28"/>
        </w:rPr>
        <w:tab/>
        <w:t>На отрицательный результат так же повлияла и курсовая разница при возврате кредита.</w:t>
      </w:r>
    </w:p>
    <w:p w:rsidR="00EE4BD1" w:rsidRPr="003F3DCE" w:rsidRDefault="00EE4BD1" w:rsidP="00D1019F">
      <w:pPr>
        <w:spacing w:line="276" w:lineRule="auto"/>
        <w:jc w:val="both"/>
        <w:rPr>
          <w:sz w:val="28"/>
          <w:szCs w:val="28"/>
        </w:rPr>
      </w:pPr>
      <w:r w:rsidRPr="003F3DCE">
        <w:rPr>
          <w:sz w:val="28"/>
          <w:szCs w:val="28"/>
        </w:rPr>
        <w:tab/>
      </w:r>
      <w:r w:rsidR="0061714A" w:rsidRPr="003F3DCE">
        <w:rPr>
          <w:sz w:val="28"/>
          <w:szCs w:val="28"/>
        </w:rPr>
        <w:t xml:space="preserve">Согласно </w:t>
      </w:r>
      <w:r w:rsidR="003F3DCE" w:rsidRPr="003F3DCE">
        <w:rPr>
          <w:sz w:val="28"/>
          <w:szCs w:val="28"/>
        </w:rPr>
        <w:t>Акту финансового инспектирования,</w:t>
      </w:r>
      <w:r w:rsidR="00F66CA5" w:rsidRPr="003F3DCE">
        <w:rPr>
          <w:sz w:val="28"/>
          <w:szCs w:val="28"/>
        </w:rPr>
        <w:t xml:space="preserve"> </w:t>
      </w:r>
      <w:r w:rsidR="00F66CA5" w:rsidRPr="003F3DCE">
        <w:rPr>
          <w:sz w:val="28"/>
          <w:szCs w:val="28"/>
          <w:u w:val="single"/>
        </w:rPr>
        <w:t>с</w:t>
      </w:r>
      <w:r w:rsidRPr="003F3DCE">
        <w:rPr>
          <w:sz w:val="28"/>
          <w:szCs w:val="28"/>
          <w:u w:val="single"/>
        </w:rPr>
        <w:t>умма упущенной выгоды</w:t>
      </w:r>
      <w:r w:rsidRPr="003F3DCE">
        <w:rPr>
          <w:sz w:val="28"/>
          <w:szCs w:val="28"/>
        </w:rPr>
        <w:t xml:space="preserve"> </w:t>
      </w:r>
      <w:r w:rsidR="003F3DCE" w:rsidRPr="003F3DCE">
        <w:rPr>
          <w:sz w:val="28"/>
          <w:szCs w:val="28"/>
        </w:rPr>
        <w:t xml:space="preserve">АО «APĂ-TERMO» </w:t>
      </w:r>
      <w:r w:rsidRPr="003F3DCE">
        <w:rPr>
          <w:sz w:val="28"/>
          <w:szCs w:val="28"/>
        </w:rPr>
        <w:t>от сверхнормативных потерь</w:t>
      </w:r>
      <w:r w:rsidR="00282EEB" w:rsidRPr="003F3DCE">
        <w:rPr>
          <w:sz w:val="28"/>
          <w:szCs w:val="28"/>
        </w:rPr>
        <w:t xml:space="preserve"> (по тарифам как для населения)</w:t>
      </w:r>
      <w:r w:rsidR="00F66CA5" w:rsidRPr="003F3DCE">
        <w:rPr>
          <w:sz w:val="28"/>
          <w:szCs w:val="28"/>
        </w:rPr>
        <w:t xml:space="preserve">, рассчитанная Территориальным управлением </w:t>
      </w:r>
      <w:r w:rsidR="003F3DCE" w:rsidRPr="003F3DCE">
        <w:rPr>
          <w:sz w:val="28"/>
          <w:szCs w:val="28"/>
        </w:rPr>
        <w:t>финансового</w:t>
      </w:r>
      <w:r w:rsidR="00F66CA5" w:rsidRPr="003F3DCE">
        <w:rPr>
          <w:sz w:val="28"/>
          <w:szCs w:val="28"/>
        </w:rPr>
        <w:t xml:space="preserve"> инспектирования </w:t>
      </w:r>
      <w:r w:rsidR="003F3DCE" w:rsidRPr="003F3DCE">
        <w:rPr>
          <w:sz w:val="28"/>
          <w:szCs w:val="28"/>
        </w:rPr>
        <w:t xml:space="preserve">АТО </w:t>
      </w:r>
      <w:proofErr w:type="spellStart"/>
      <w:r w:rsidR="003F3DCE" w:rsidRPr="003F3DCE">
        <w:rPr>
          <w:sz w:val="28"/>
          <w:szCs w:val="28"/>
        </w:rPr>
        <w:t>Гагаузия</w:t>
      </w:r>
      <w:proofErr w:type="spellEnd"/>
      <w:r w:rsidR="003F3DCE">
        <w:rPr>
          <w:sz w:val="28"/>
          <w:szCs w:val="28"/>
        </w:rPr>
        <w:t>,</w:t>
      </w:r>
      <w:r w:rsidR="003F3DCE" w:rsidRPr="003F3DCE">
        <w:rPr>
          <w:sz w:val="28"/>
          <w:szCs w:val="28"/>
        </w:rPr>
        <w:t xml:space="preserve"> равна</w:t>
      </w:r>
      <w:r w:rsidR="00282EEB" w:rsidRPr="003F3DCE">
        <w:rPr>
          <w:sz w:val="28"/>
          <w:szCs w:val="28"/>
        </w:rPr>
        <w:t>:</w:t>
      </w:r>
    </w:p>
    <w:p w:rsidR="00282EEB" w:rsidRPr="00282EEB" w:rsidRDefault="003F3DCE" w:rsidP="00D101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82EEB" w:rsidRPr="00282EEB">
        <w:rPr>
          <w:sz w:val="28"/>
          <w:szCs w:val="28"/>
        </w:rPr>
        <w:t>2017 год</w:t>
      </w:r>
      <w:r>
        <w:rPr>
          <w:sz w:val="28"/>
          <w:szCs w:val="28"/>
        </w:rPr>
        <w:t>у</w:t>
      </w:r>
      <w:r w:rsidR="00282EEB" w:rsidRPr="00282EEB">
        <w:rPr>
          <w:sz w:val="28"/>
          <w:szCs w:val="28"/>
        </w:rPr>
        <w:t xml:space="preserve"> – 3992,5 </w:t>
      </w:r>
      <w:proofErr w:type="spellStart"/>
      <w:proofErr w:type="gramStart"/>
      <w:r w:rsidR="00282EEB" w:rsidRPr="00282EEB">
        <w:rPr>
          <w:sz w:val="28"/>
          <w:szCs w:val="28"/>
        </w:rPr>
        <w:t>тыс.леев</w:t>
      </w:r>
      <w:proofErr w:type="spellEnd"/>
      <w:proofErr w:type="gramEnd"/>
      <w:r>
        <w:rPr>
          <w:sz w:val="28"/>
          <w:szCs w:val="28"/>
        </w:rPr>
        <w:t xml:space="preserve"> – почти 4 </w:t>
      </w:r>
      <w:proofErr w:type="spellStart"/>
      <w:r>
        <w:rPr>
          <w:sz w:val="28"/>
          <w:szCs w:val="28"/>
        </w:rPr>
        <w:t>млн.леев</w:t>
      </w:r>
      <w:proofErr w:type="spellEnd"/>
      <w:r w:rsidR="00282EEB" w:rsidRPr="00282EEB">
        <w:rPr>
          <w:sz w:val="28"/>
          <w:szCs w:val="28"/>
        </w:rPr>
        <w:t>,</w:t>
      </w:r>
    </w:p>
    <w:p w:rsidR="00282EEB" w:rsidRPr="00282EEB" w:rsidRDefault="003F3DCE" w:rsidP="00D101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82EEB" w:rsidRPr="00282EEB">
        <w:rPr>
          <w:sz w:val="28"/>
          <w:szCs w:val="28"/>
        </w:rPr>
        <w:t>2018 го</w:t>
      </w:r>
      <w:r>
        <w:rPr>
          <w:sz w:val="28"/>
          <w:szCs w:val="28"/>
        </w:rPr>
        <w:t>ду</w:t>
      </w:r>
      <w:r w:rsidR="00282EEB" w:rsidRPr="00282EEB">
        <w:rPr>
          <w:sz w:val="28"/>
          <w:szCs w:val="28"/>
        </w:rPr>
        <w:t xml:space="preserve"> – </w:t>
      </w:r>
      <w:r w:rsidR="00282EEB">
        <w:rPr>
          <w:sz w:val="28"/>
          <w:szCs w:val="28"/>
        </w:rPr>
        <w:t>6439,8</w:t>
      </w:r>
      <w:r w:rsidR="00282EEB" w:rsidRPr="00282EEB">
        <w:rPr>
          <w:sz w:val="28"/>
          <w:szCs w:val="28"/>
        </w:rPr>
        <w:t xml:space="preserve"> </w:t>
      </w:r>
      <w:proofErr w:type="spellStart"/>
      <w:proofErr w:type="gramStart"/>
      <w:r w:rsidR="00282EEB" w:rsidRPr="00282EEB">
        <w:rPr>
          <w:sz w:val="28"/>
          <w:szCs w:val="28"/>
        </w:rPr>
        <w:t>тыс.леев</w:t>
      </w:r>
      <w:proofErr w:type="spellEnd"/>
      <w:proofErr w:type="gramEnd"/>
      <w:r>
        <w:rPr>
          <w:sz w:val="28"/>
          <w:szCs w:val="28"/>
        </w:rPr>
        <w:t xml:space="preserve"> - свыше 6,4 </w:t>
      </w:r>
      <w:proofErr w:type="spellStart"/>
      <w:r>
        <w:rPr>
          <w:sz w:val="28"/>
          <w:szCs w:val="28"/>
        </w:rPr>
        <w:t>млн.леев</w:t>
      </w:r>
      <w:proofErr w:type="spellEnd"/>
      <w:r w:rsidRPr="00282EEB">
        <w:rPr>
          <w:sz w:val="28"/>
          <w:szCs w:val="28"/>
        </w:rPr>
        <w:t>,</w:t>
      </w:r>
    </w:p>
    <w:p w:rsidR="00282EEB" w:rsidRPr="00282EEB" w:rsidRDefault="003F3DCE" w:rsidP="00D101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82EEB" w:rsidRPr="00282EEB">
        <w:rPr>
          <w:sz w:val="28"/>
          <w:szCs w:val="28"/>
        </w:rPr>
        <w:t>2019 год</w:t>
      </w:r>
      <w:r>
        <w:rPr>
          <w:sz w:val="28"/>
          <w:szCs w:val="28"/>
        </w:rPr>
        <w:t>у</w:t>
      </w:r>
      <w:r w:rsidR="00282EEB" w:rsidRPr="00282EEB">
        <w:rPr>
          <w:sz w:val="28"/>
          <w:szCs w:val="28"/>
        </w:rPr>
        <w:t xml:space="preserve"> – </w:t>
      </w:r>
      <w:r w:rsidR="00282EEB">
        <w:rPr>
          <w:sz w:val="28"/>
          <w:szCs w:val="28"/>
        </w:rPr>
        <w:t>7421,1</w:t>
      </w:r>
      <w:r w:rsidR="00282EEB" w:rsidRPr="00282EEB">
        <w:rPr>
          <w:sz w:val="28"/>
          <w:szCs w:val="28"/>
        </w:rPr>
        <w:t xml:space="preserve"> </w:t>
      </w:r>
      <w:proofErr w:type="spellStart"/>
      <w:proofErr w:type="gramStart"/>
      <w:r w:rsidR="00282EEB" w:rsidRPr="00282EEB">
        <w:rPr>
          <w:sz w:val="28"/>
          <w:szCs w:val="28"/>
        </w:rPr>
        <w:t>тыс.леев</w:t>
      </w:r>
      <w:proofErr w:type="spellEnd"/>
      <w:proofErr w:type="gramEnd"/>
      <w:r>
        <w:rPr>
          <w:sz w:val="28"/>
          <w:szCs w:val="28"/>
        </w:rPr>
        <w:t xml:space="preserve"> - свыше 7,4 </w:t>
      </w:r>
      <w:proofErr w:type="spellStart"/>
      <w:r>
        <w:rPr>
          <w:sz w:val="28"/>
          <w:szCs w:val="28"/>
        </w:rPr>
        <w:t>млн.леев</w:t>
      </w:r>
      <w:proofErr w:type="spellEnd"/>
      <w:r w:rsidRPr="00282EEB">
        <w:rPr>
          <w:sz w:val="28"/>
          <w:szCs w:val="28"/>
        </w:rPr>
        <w:t>,</w:t>
      </w:r>
    </w:p>
    <w:p w:rsidR="00282EEB" w:rsidRDefault="003F3DCE" w:rsidP="00D101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82EEB" w:rsidRPr="00282EEB">
        <w:rPr>
          <w:sz w:val="28"/>
          <w:szCs w:val="28"/>
        </w:rPr>
        <w:t>2020 год</w:t>
      </w:r>
      <w:r>
        <w:rPr>
          <w:sz w:val="28"/>
          <w:szCs w:val="28"/>
        </w:rPr>
        <w:t>у</w:t>
      </w:r>
      <w:r w:rsidR="00282EEB" w:rsidRPr="00282EEB">
        <w:rPr>
          <w:sz w:val="28"/>
          <w:szCs w:val="28"/>
        </w:rPr>
        <w:t xml:space="preserve"> – </w:t>
      </w:r>
      <w:r w:rsidR="00282EEB">
        <w:rPr>
          <w:sz w:val="28"/>
          <w:szCs w:val="28"/>
        </w:rPr>
        <w:t xml:space="preserve">7842,3 </w:t>
      </w:r>
      <w:proofErr w:type="spellStart"/>
      <w:proofErr w:type="gramStart"/>
      <w:r w:rsidR="00282EEB">
        <w:rPr>
          <w:sz w:val="28"/>
          <w:szCs w:val="28"/>
        </w:rPr>
        <w:t>тыс.леев</w:t>
      </w:r>
      <w:proofErr w:type="spellEnd"/>
      <w:proofErr w:type="gramEnd"/>
      <w:r>
        <w:rPr>
          <w:sz w:val="28"/>
          <w:szCs w:val="28"/>
        </w:rPr>
        <w:t xml:space="preserve"> - свыше 7,8 </w:t>
      </w:r>
      <w:proofErr w:type="spellStart"/>
      <w:r>
        <w:rPr>
          <w:sz w:val="28"/>
          <w:szCs w:val="28"/>
        </w:rPr>
        <w:t>млн.леев</w:t>
      </w:r>
      <w:proofErr w:type="spellEnd"/>
      <w:r w:rsidR="00282EEB">
        <w:rPr>
          <w:sz w:val="28"/>
          <w:szCs w:val="28"/>
        </w:rPr>
        <w:t>.</w:t>
      </w:r>
    </w:p>
    <w:p w:rsidR="003F3DCE" w:rsidRDefault="003F3DCE" w:rsidP="00D101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Всего за 4 года сумма прибыли предприятия составила бы около 28,2 </w:t>
      </w:r>
      <w:proofErr w:type="spellStart"/>
      <w:proofErr w:type="gramStart"/>
      <w:r>
        <w:rPr>
          <w:sz w:val="28"/>
          <w:szCs w:val="28"/>
        </w:rPr>
        <w:t>млн.леев</w:t>
      </w:r>
      <w:proofErr w:type="spellEnd"/>
      <w:proofErr w:type="gramEnd"/>
      <w:r>
        <w:rPr>
          <w:sz w:val="28"/>
          <w:szCs w:val="28"/>
        </w:rPr>
        <w:t xml:space="preserve"> (с учётом чистых прибылей/убытков за эти годы).</w:t>
      </w:r>
    </w:p>
    <w:p w:rsidR="00282EEB" w:rsidRPr="00282EEB" w:rsidRDefault="00282EEB" w:rsidP="00D101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Предприятие продолжает нести затраты на электроэнергию по сверхнормативным потерям воды. </w:t>
      </w:r>
      <w:r w:rsidR="00976F68">
        <w:rPr>
          <w:sz w:val="28"/>
          <w:szCs w:val="28"/>
        </w:rPr>
        <w:t>Данный показатель не учитывается в тарифе, но з</w:t>
      </w:r>
      <w:r>
        <w:rPr>
          <w:sz w:val="28"/>
          <w:szCs w:val="28"/>
        </w:rPr>
        <w:t xml:space="preserve">а 4 года </w:t>
      </w:r>
      <w:r w:rsidR="00976F68">
        <w:rPr>
          <w:sz w:val="28"/>
          <w:szCs w:val="28"/>
        </w:rPr>
        <w:t xml:space="preserve">затраты на электроэнергию, т.е. </w:t>
      </w:r>
      <w:r>
        <w:rPr>
          <w:sz w:val="28"/>
          <w:szCs w:val="28"/>
        </w:rPr>
        <w:t>убытки</w:t>
      </w:r>
      <w:r w:rsidR="00976F68">
        <w:rPr>
          <w:sz w:val="28"/>
          <w:szCs w:val="28"/>
        </w:rPr>
        <w:t xml:space="preserve"> предприятия</w:t>
      </w:r>
      <w:r w:rsidR="00D70632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составили почти 2,7 </w:t>
      </w:r>
      <w:proofErr w:type="spellStart"/>
      <w:proofErr w:type="gramStart"/>
      <w:r>
        <w:rPr>
          <w:sz w:val="28"/>
          <w:szCs w:val="28"/>
        </w:rPr>
        <w:t>млн.леев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A90B4F" w:rsidRDefault="00A90B4F" w:rsidP="00D1019F">
      <w:pPr>
        <w:spacing w:line="276" w:lineRule="auto"/>
        <w:ind w:firstLine="708"/>
        <w:jc w:val="both"/>
        <w:rPr>
          <w:sz w:val="28"/>
          <w:szCs w:val="28"/>
        </w:rPr>
      </w:pPr>
      <w:r w:rsidRPr="00A90B4F">
        <w:rPr>
          <w:sz w:val="28"/>
          <w:szCs w:val="28"/>
        </w:rPr>
        <w:t>Динамика увеличения основных расходов на предоставление публичных услуг по водоснабжению и канализации</w:t>
      </w:r>
      <w:r>
        <w:rPr>
          <w:sz w:val="28"/>
          <w:szCs w:val="28"/>
        </w:rPr>
        <w:t xml:space="preserve"> представлена в Диаграмме №2</w:t>
      </w:r>
    </w:p>
    <w:p w:rsidR="00D70632" w:rsidRPr="006E73FC" w:rsidRDefault="00D70632" w:rsidP="00D70632">
      <w:pPr>
        <w:spacing w:line="276" w:lineRule="auto"/>
        <w:ind w:firstLine="708"/>
        <w:jc w:val="right"/>
        <w:rPr>
          <w:i/>
        </w:rPr>
      </w:pPr>
      <w:bookmarkStart w:id="0" w:name="_GoBack"/>
      <w:bookmarkEnd w:id="0"/>
      <w:r w:rsidRPr="006E73FC">
        <w:rPr>
          <w:i/>
        </w:rPr>
        <w:t>Диаграмма №2</w:t>
      </w:r>
    </w:p>
    <w:p w:rsidR="00A90B4F" w:rsidRDefault="00A90B4F" w:rsidP="0066652B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D932DB" wp14:editId="1280E1FD">
            <wp:extent cx="5133975" cy="36385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90B4F" w:rsidRDefault="00A90B4F" w:rsidP="00D1019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Основные расходы предприятия АО </w:t>
      </w:r>
      <w:r w:rsidRPr="00B61DAC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AP</w:t>
      </w:r>
      <w:r>
        <w:rPr>
          <w:sz w:val="28"/>
          <w:szCs w:val="28"/>
          <w:lang w:val="ro-MD"/>
        </w:rPr>
        <w:t>Ă-TERMO</w:t>
      </w:r>
      <w:r w:rsidRPr="00B61DAC">
        <w:rPr>
          <w:sz w:val="28"/>
          <w:szCs w:val="28"/>
        </w:rPr>
        <w:t>»</w:t>
      </w:r>
      <w:r>
        <w:rPr>
          <w:sz w:val="28"/>
          <w:szCs w:val="28"/>
        </w:rPr>
        <w:t xml:space="preserve"> в прогнозе на базовый 2020 год, представленные в НАРЭ, были увеличены более, чем на 2,7 </w:t>
      </w:r>
      <w:proofErr w:type="spellStart"/>
      <w:proofErr w:type="gramStart"/>
      <w:r>
        <w:rPr>
          <w:sz w:val="28"/>
          <w:szCs w:val="28"/>
        </w:rPr>
        <w:t>млн.леев</w:t>
      </w:r>
      <w:proofErr w:type="spellEnd"/>
      <w:proofErr w:type="gramEnd"/>
      <w:r>
        <w:rPr>
          <w:sz w:val="28"/>
          <w:szCs w:val="28"/>
        </w:rPr>
        <w:t xml:space="preserve"> в сравнении с 2019 годом, и составили около 9,95 </w:t>
      </w:r>
      <w:proofErr w:type="spellStart"/>
      <w:r>
        <w:rPr>
          <w:sz w:val="28"/>
          <w:szCs w:val="28"/>
        </w:rPr>
        <w:t>млн.леев</w:t>
      </w:r>
      <w:proofErr w:type="spellEnd"/>
      <w:r>
        <w:rPr>
          <w:sz w:val="28"/>
          <w:szCs w:val="28"/>
        </w:rPr>
        <w:t>.</w:t>
      </w:r>
      <w:r w:rsidR="00D70632">
        <w:rPr>
          <w:sz w:val="28"/>
          <w:szCs w:val="28"/>
        </w:rPr>
        <w:t xml:space="preserve"> А с 2015 года </w:t>
      </w:r>
      <w:r w:rsidR="00A97FCC">
        <w:rPr>
          <w:sz w:val="28"/>
          <w:szCs w:val="28"/>
        </w:rPr>
        <w:t xml:space="preserve">по 2020 расходы выросли почти в 2 раза.  </w:t>
      </w:r>
    </w:p>
    <w:p w:rsidR="00D70632" w:rsidRDefault="00D70632" w:rsidP="00D70632">
      <w:pPr>
        <w:spacing w:line="276" w:lineRule="auto"/>
        <w:ind w:firstLine="708"/>
        <w:jc w:val="right"/>
        <w:rPr>
          <w:i/>
        </w:rPr>
      </w:pPr>
    </w:p>
    <w:p w:rsidR="00D70632" w:rsidRPr="006E73FC" w:rsidRDefault="00D70632" w:rsidP="00D70632">
      <w:pPr>
        <w:spacing w:line="276" w:lineRule="auto"/>
        <w:ind w:firstLine="708"/>
        <w:jc w:val="right"/>
        <w:rPr>
          <w:i/>
        </w:rPr>
      </w:pPr>
      <w:r w:rsidRPr="006E73FC">
        <w:rPr>
          <w:i/>
        </w:rPr>
        <w:t>Диаграмма №</w:t>
      </w:r>
      <w:r>
        <w:rPr>
          <w:i/>
        </w:rPr>
        <w:t>3</w:t>
      </w:r>
    </w:p>
    <w:p w:rsidR="000E7E6F" w:rsidRDefault="008B7C89" w:rsidP="00CC2688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E2EF92" wp14:editId="560D5C33">
            <wp:extent cx="5181600" cy="36576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73FC" w:rsidRDefault="006E73FC" w:rsidP="00740DF8">
      <w:pPr>
        <w:spacing w:line="276" w:lineRule="auto"/>
        <w:ind w:firstLine="708"/>
        <w:rPr>
          <w:sz w:val="28"/>
          <w:szCs w:val="28"/>
        </w:rPr>
      </w:pPr>
    </w:p>
    <w:p w:rsidR="00740DF8" w:rsidRDefault="008B7C89" w:rsidP="00D1019F">
      <w:pPr>
        <w:spacing w:line="276" w:lineRule="auto"/>
        <w:ind w:firstLine="708"/>
        <w:jc w:val="both"/>
        <w:rPr>
          <w:sz w:val="28"/>
          <w:szCs w:val="28"/>
        </w:rPr>
      </w:pPr>
      <w:r w:rsidRPr="00740DF8">
        <w:rPr>
          <w:sz w:val="28"/>
          <w:szCs w:val="28"/>
        </w:rPr>
        <w:t>Из Диаграммы №3 видно, что из всех основных расходов «</w:t>
      </w:r>
      <w:r w:rsidRPr="00740DF8">
        <w:rPr>
          <w:sz w:val="28"/>
          <w:szCs w:val="28"/>
          <w:lang w:val="en-US"/>
        </w:rPr>
        <w:t>AP</w:t>
      </w:r>
      <w:r w:rsidRPr="00740DF8">
        <w:rPr>
          <w:sz w:val="28"/>
          <w:szCs w:val="28"/>
          <w:lang w:val="ro-MD"/>
        </w:rPr>
        <w:t>Ă-TERMO</w:t>
      </w:r>
      <w:r w:rsidRPr="00740DF8">
        <w:rPr>
          <w:sz w:val="28"/>
          <w:szCs w:val="28"/>
        </w:rPr>
        <w:t>»</w:t>
      </w:r>
      <w:r w:rsidR="00922D55">
        <w:rPr>
          <w:sz w:val="28"/>
          <w:szCs w:val="28"/>
        </w:rPr>
        <w:t xml:space="preserve"> в 2020 году</w:t>
      </w:r>
      <w:r w:rsidRPr="00740DF8">
        <w:rPr>
          <w:sz w:val="28"/>
          <w:szCs w:val="28"/>
        </w:rPr>
        <w:t xml:space="preserve"> на предоставление публичных услуг по водоснабжению и канализации</w:t>
      </w:r>
      <w:r w:rsidR="00740DF8">
        <w:rPr>
          <w:sz w:val="28"/>
          <w:szCs w:val="28"/>
        </w:rPr>
        <w:t>:</w:t>
      </w:r>
    </w:p>
    <w:p w:rsidR="00922D55" w:rsidRDefault="008B7C89" w:rsidP="00D1019F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740DF8">
        <w:rPr>
          <w:sz w:val="28"/>
          <w:szCs w:val="28"/>
          <w:u w:val="single"/>
        </w:rPr>
        <w:t>86%</w:t>
      </w:r>
      <w:r w:rsidRPr="00740DF8">
        <w:rPr>
          <w:sz w:val="28"/>
          <w:szCs w:val="28"/>
        </w:rPr>
        <w:t xml:space="preserve"> или почти 8,6 млн. леев пр</w:t>
      </w:r>
      <w:r w:rsidR="00740DF8" w:rsidRPr="00740DF8">
        <w:rPr>
          <w:sz w:val="28"/>
          <w:szCs w:val="28"/>
        </w:rPr>
        <w:t xml:space="preserve">иходится на </w:t>
      </w:r>
      <w:r w:rsidR="00740DF8" w:rsidRPr="00922D55">
        <w:rPr>
          <w:sz w:val="28"/>
          <w:szCs w:val="28"/>
          <w:u w:val="single"/>
        </w:rPr>
        <w:t>расходы на персонал</w:t>
      </w:r>
      <w:r w:rsidR="00740DF8" w:rsidRPr="00740DF8">
        <w:rPr>
          <w:sz w:val="28"/>
          <w:szCs w:val="28"/>
        </w:rPr>
        <w:t>, из которых 7 млн. на фонд оплаты труда (</w:t>
      </w:r>
      <w:r w:rsidRPr="00740DF8">
        <w:rPr>
          <w:sz w:val="28"/>
          <w:szCs w:val="28"/>
        </w:rPr>
        <w:t>без отчислений в медицинский и социальные фонды</w:t>
      </w:r>
      <w:r w:rsidR="00740DF8" w:rsidRPr="00740DF8">
        <w:rPr>
          <w:sz w:val="28"/>
          <w:szCs w:val="28"/>
        </w:rPr>
        <w:t xml:space="preserve">), в которых, кроме дополнительной оплаты, регламентируемой законодательством (вредные условия труда, оплата в выходные, за интенсивность и т.п.), заложены стимулирующие выплаты в размере около 599 </w:t>
      </w:r>
      <w:proofErr w:type="spellStart"/>
      <w:proofErr w:type="gramStart"/>
      <w:r w:rsidR="00740DF8" w:rsidRPr="00740DF8">
        <w:rPr>
          <w:sz w:val="28"/>
          <w:szCs w:val="28"/>
        </w:rPr>
        <w:t>тыс.леев</w:t>
      </w:r>
      <w:proofErr w:type="spellEnd"/>
      <w:proofErr w:type="gramEnd"/>
      <w:r w:rsidR="00922D55">
        <w:rPr>
          <w:sz w:val="28"/>
          <w:szCs w:val="28"/>
        </w:rPr>
        <w:t>;</w:t>
      </w:r>
    </w:p>
    <w:p w:rsidR="00922D55" w:rsidRPr="001D2D59" w:rsidRDefault="00922D55" w:rsidP="00D1019F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1D2D59">
        <w:rPr>
          <w:sz w:val="28"/>
          <w:szCs w:val="28"/>
        </w:rPr>
        <w:t xml:space="preserve">на </w:t>
      </w:r>
      <w:r w:rsidRPr="001D2D59">
        <w:rPr>
          <w:sz w:val="28"/>
          <w:szCs w:val="28"/>
          <w:u w:val="single"/>
        </w:rPr>
        <w:t>распределительные и административные расходы</w:t>
      </w:r>
      <w:r w:rsidRPr="001D2D59">
        <w:rPr>
          <w:sz w:val="28"/>
          <w:szCs w:val="28"/>
        </w:rPr>
        <w:t xml:space="preserve"> </w:t>
      </w:r>
      <w:r w:rsidR="001D2D59" w:rsidRPr="001D2D59">
        <w:rPr>
          <w:sz w:val="28"/>
          <w:szCs w:val="28"/>
        </w:rPr>
        <w:t>(</w:t>
      </w:r>
      <w:r w:rsidR="001D2D59">
        <w:rPr>
          <w:sz w:val="28"/>
          <w:szCs w:val="28"/>
        </w:rPr>
        <w:t>на направление</w:t>
      </w:r>
      <w:r w:rsidR="001D2D59" w:rsidRPr="001D2D59">
        <w:rPr>
          <w:sz w:val="28"/>
          <w:szCs w:val="28"/>
        </w:rPr>
        <w:t xml:space="preserve"> </w:t>
      </w:r>
      <w:r w:rsidR="001C2276">
        <w:rPr>
          <w:sz w:val="28"/>
          <w:szCs w:val="28"/>
        </w:rPr>
        <w:t>и</w:t>
      </w:r>
      <w:r w:rsidR="001D2D59" w:rsidRPr="001D2D59">
        <w:rPr>
          <w:sz w:val="28"/>
          <w:szCs w:val="28"/>
        </w:rPr>
        <w:t xml:space="preserve"> </w:t>
      </w:r>
      <w:r w:rsidR="001D2D59">
        <w:rPr>
          <w:sz w:val="28"/>
          <w:szCs w:val="28"/>
        </w:rPr>
        <w:t xml:space="preserve">на </w:t>
      </w:r>
      <w:r w:rsidR="001D2D59" w:rsidRPr="001D2D59">
        <w:rPr>
          <w:sz w:val="28"/>
          <w:szCs w:val="28"/>
        </w:rPr>
        <w:t xml:space="preserve">профессиональную подготовку и повышение квалификации </w:t>
      </w:r>
      <w:proofErr w:type="spellStart"/>
      <w:proofErr w:type="gramStart"/>
      <w:r w:rsidR="001D2D59" w:rsidRPr="001D2D59">
        <w:rPr>
          <w:sz w:val="28"/>
          <w:szCs w:val="28"/>
        </w:rPr>
        <w:t>админ.персонала</w:t>
      </w:r>
      <w:proofErr w:type="spellEnd"/>
      <w:proofErr w:type="gramEnd"/>
      <w:r w:rsidR="001D2D59" w:rsidRPr="001D2D59">
        <w:rPr>
          <w:sz w:val="28"/>
          <w:szCs w:val="28"/>
        </w:rPr>
        <w:t xml:space="preserve">, </w:t>
      </w:r>
      <w:r w:rsidR="001D2D59">
        <w:rPr>
          <w:sz w:val="28"/>
          <w:szCs w:val="28"/>
        </w:rPr>
        <w:t>услуги почты…</w:t>
      </w:r>
      <w:r w:rsidR="001D2D59" w:rsidRPr="001D2D59">
        <w:rPr>
          <w:sz w:val="28"/>
          <w:szCs w:val="28"/>
        </w:rPr>
        <w:t>)</w:t>
      </w:r>
      <w:r w:rsidR="001D2D59">
        <w:rPr>
          <w:sz w:val="28"/>
          <w:szCs w:val="28"/>
        </w:rPr>
        <w:t xml:space="preserve"> </w:t>
      </w:r>
      <w:r w:rsidRPr="001D2D59">
        <w:rPr>
          <w:sz w:val="28"/>
          <w:szCs w:val="28"/>
        </w:rPr>
        <w:t xml:space="preserve">приходится ещё </w:t>
      </w:r>
      <w:r w:rsidRPr="001D2D59">
        <w:rPr>
          <w:sz w:val="28"/>
          <w:szCs w:val="28"/>
          <w:u w:val="single"/>
        </w:rPr>
        <w:t>3%</w:t>
      </w:r>
      <w:r w:rsidRPr="001D2D59">
        <w:rPr>
          <w:sz w:val="28"/>
          <w:szCs w:val="28"/>
        </w:rPr>
        <w:t xml:space="preserve"> или почти 198 </w:t>
      </w:r>
      <w:proofErr w:type="spellStart"/>
      <w:r w:rsidRPr="001D2D59">
        <w:rPr>
          <w:sz w:val="28"/>
          <w:szCs w:val="28"/>
        </w:rPr>
        <w:t>тыс.леев</w:t>
      </w:r>
      <w:proofErr w:type="spellEnd"/>
      <w:r w:rsidRPr="001D2D59">
        <w:rPr>
          <w:sz w:val="28"/>
          <w:szCs w:val="28"/>
        </w:rPr>
        <w:t xml:space="preserve"> общих основных расходов предприятия;</w:t>
      </w:r>
    </w:p>
    <w:p w:rsidR="000E7E6F" w:rsidRDefault="00922D55" w:rsidP="00D1019F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оставшиеся</w:t>
      </w:r>
      <w:r w:rsidR="001D2D59">
        <w:rPr>
          <w:sz w:val="28"/>
          <w:szCs w:val="28"/>
        </w:rPr>
        <w:t xml:space="preserve"> всего лишь</w:t>
      </w:r>
      <w:r>
        <w:rPr>
          <w:sz w:val="28"/>
          <w:szCs w:val="28"/>
        </w:rPr>
        <w:t xml:space="preserve"> </w:t>
      </w:r>
      <w:r w:rsidRPr="00922D55">
        <w:rPr>
          <w:sz w:val="28"/>
          <w:szCs w:val="28"/>
          <w:u w:val="single"/>
        </w:rPr>
        <w:t>9% и 2%</w:t>
      </w:r>
      <w:r>
        <w:rPr>
          <w:sz w:val="28"/>
          <w:szCs w:val="28"/>
        </w:rPr>
        <w:t xml:space="preserve"> </w:t>
      </w:r>
      <w:r w:rsidR="001D2D59">
        <w:rPr>
          <w:sz w:val="28"/>
          <w:szCs w:val="28"/>
        </w:rPr>
        <w:t xml:space="preserve">или 627,9 </w:t>
      </w:r>
      <w:proofErr w:type="spellStart"/>
      <w:proofErr w:type="gramStart"/>
      <w:r w:rsidR="001D2D59">
        <w:rPr>
          <w:sz w:val="28"/>
          <w:szCs w:val="28"/>
        </w:rPr>
        <w:t>тыс.леев</w:t>
      </w:r>
      <w:proofErr w:type="spellEnd"/>
      <w:proofErr w:type="gramEnd"/>
      <w:r w:rsidR="001D2D59">
        <w:rPr>
          <w:sz w:val="28"/>
          <w:szCs w:val="28"/>
        </w:rPr>
        <w:t xml:space="preserve"> и 172,2 </w:t>
      </w:r>
      <w:proofErr w:type="spellStart"/>
      <w:r w:rsidR="001D2D59">
        <w:rPr>
          <w:sz w:val="28"/>
          <w:szCs w:val="28"/>
        </w:rPr>
        <w:t>тыс.леев</w:t>
      </w:r>
      <w:proofErr w:type="spellEnd"/>
      <w:r w:rsidR="001D2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отводятся на </w:t>
      </w:r>
      <w:r w:rsidRPr="00922D55">
        <w:rPr>
          <w:sz w:val="28"/>
          <w:szCs w:val="28"/>
          <w:u w:val="single"/>
        </w:rPr>
        <w:t>материальные расходы и расходы на техническую поддержку и эксплуатацию</w:t>
      </w:r>
      <w:r w:rsidR="001D2D59">
        <w:rPr>
          <w:sz w:val="28"/>
          <w:szCs w:val="28"/>
          <w:u w:val="single"/>
        </w:rPr>
        <w:t xml:space="preserve"> </w:t>
      </w:r>
      <w:r w:rsidR="001D2D59" w:rsidRPr="001D2D59">
        <w:rPr>
          <w:sz w:val="28"/>
          <w:szCs w:val="28"/>
        </w:rPr>
        <w:t xml:space="preserve">(метрологическая экспертиза, </w:t>
      </w:r>
      <w:r w:rsidR="001D2D59">
        <w:rPr>
          <w:sz w:val="28"/>
          <w:szCs w:val="28"/>
        </w:rPr>
        <w:t xml:space="preserve">лабораторные исследования, </w:t>
      </w:r>
      <w:r w:rsidR="001D2D59" w:rsidRPr="001D2D59">
        <w:rPr>
          <w:sz w:val="28"/>
          <w:szCs w:val="28"/>
        </w:rPr>
        <w:t>ремонт</w:t>
      </w:r>
      <w:r w:rsidR="001D2D59">
        <w:rPr>
          <w:sz w:val="28"/>
          <w:szCs w:val="28"/>
        </w:rPr>
        <w:t xml:space="preserve"> и</w:t>
      </w:r>
      <w:r w:rsidR="001D2D59" w:rsidRPr="001D2D59">
        <w:rPr>
          <w:sz w:val="28"/>
          <w:szCs w:val="28"/>
        </w:rPr>
        <w:t xml:space="preserve"> гос. поверка счётчиков, расходы на</w:t>
      </w:r>
      <w:r w:rsidR="001D2D59">
        <w:rPr>
          <w:sz w:val="28"/>
          <w:szCs w:val="28"/>
        </w:rPr>
        <w:t xml:space="preserve"> автомобили</w:t>
      </w:r>
      <w:r w:rsidR="001D2D59" w:rsidRPr="001D2D59">
        <w:rPr>
          <w:sz w:val="28"/>
          <w:szCs w:val="28"/>
        </w:rPr>
        <w:t>,</w:t>
      </w:r>
      <w:r w:rsidR="001D2D59">
        <w:rPr>
          <w:sz w:val="28"/>
          <w:szCs w:val="28"/>
        </w:rPr>
        <w:t xml:space="preserve"> ГСМ, химические реактивы, канцтовары…)</w:t>
      </w:r>
      <w:r w:rsidR="00740DF8" w:rsidRPr="001D2D59">
        <w:rPr>
          <w:sz w:val="28"/>
          <w:szCs w:val="28"/>
        </w:rPr>
        <w:t xml:space="preserve">. </w:t>
      </w:r>
    </w:p>
    <w:p w:rsidR="00633FA0" w:rsidRDefault="00633FA0" w:rsidP="00126A57">
      <w:pPr>
        <w:spacing w:line="276" w:lineRule="auto"/>
        <w:jc w:val="right"/>
        <w:rPr>
          <w:i/>
        </w:rPr>
      </w:pPr>
    </w:p>
    <w:p w:rsidR="00633FA0" w:rsidRDefault="00633FA0" w:rsidP="00126A57">
      <w:pPr>
        <w:spacing w:line="276" w:lineRule="auto"/>
        <w:jc w:val="right"/>
        <w:rPr>
          <w:i/>
        </w:rPr>
      </w:pPr>
    </w:p>
    <w:p w:rsidR="00633FA0" w:rsidRDefault="00633FA0" w:rsidP="00126A57">
      <w:pPr>
        <w:spacing w:line="276" w:lineRule="auto"/>
        <w:jc w:val="right"/>
        <w:rPr>
          <w:i/>
        </w:rPr>
      </w:pPr>
    </w:p>
    <w:p w:rsidR="00633FA0" w:rsidRDefault="00633FA0" w:rsidP="00126A57">
      <w:pPr>
        <w:spacing w:line="276" w:lineRule="auto"/>
        <w:jc w:val="right"/>
        <w:rPr>
          <w:i/>
        </w:rPr>
      </w:pPr>
    </w:p>
    <w:p w:rsidR="00126A57" w:rsidRDefault="00126A57" w:rsidP="00126A57">
      <w:pPr>
        <w:spacing w:line="276" w:lineRule="auto"/>
        <w:jc w:val="right"/>
        <w:rPr>
          <w:i/>
        </w:rPr>
      </w:pPr>
      <w:r w:rsidRPr="003E6761">
        <w:rPr>
          <w:i/>
        </w:rPr>
        <w:lastRenderedPageBreak/>
        <w:t>Диаграмма №4</w:t>
      </w:r>
    </w:p>
    <w:p w:rsidR="00633FA0" w:rsidRPr="003E6761" w:rsidRDefault="00633FA0" w:rsidP="00126A57">
      <w:pPr>
        <w:spacing w:line="276" w:lineRule="auto"/>
        <w:jc w:val="right"/>
        <w:rPr>
          <w:i/>
        </w:rPr>
      </w:pPr>
    </w:p>
    <w:p w:rsidR="00FF2CC6" w:rsidRDefault="00CB3693" w:rsidP="0030118C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FCBA615" wp14:editId="3D7A80E4">
            <wp:extent cx="4886325" cy="38862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4AD0" w:rsidRDefault="00D94AD0" w:rsidP="0066652B">
      <w:pPr>
        <w:spacing w:line="276" w:lineRule="auto"/>
        <w:ind w:firstLine="708"/>
        <w:jc w:val="both"/>
        <w:rPr>
          <w:sz w:val="28"/>
          <w:szCs w:val="28"/>
        </w:rPr>
      </w:pPr>
    </w:p>
    <w:p w:rsidR="00D94AD0" w:rsidRPr="000901B2" w:rsidRDefault="003E6761" w:rsidP="00D1019F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Из следующей диаграммы очевидно, что большая часть расходов предприятия – 60% приходится на услуги водоснабжения питьевой вод</w:t>
      </w:r>
      <w:r w:rsidR="00126A5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94AD0" w:rsidRPr="00126A57" w:rsidRDefault="00D94AD0" w:rsidP="00D1019F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:rsidR="00D94AD0" w:rsidRDefault="0090043D" w:rsidP="00D1019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всех расходов предприятия, </w:t>
      </w:r>
      <w:r w:rsidRPr="0090043D">
        <w:rPr>
          <w:sz w:val="28"/>
          <w:szCs w:val="28"/>
        </w:rPr>
        <w:t xml:space="preserve">расходы только на персонал увеличились более, чем на 2,5 </w:t>
      </w:r>
      <w:proofErr w:type="spellStart"/>
      <w:proofErr w:type="gramStart"/>
      <w:r w:rsidRPr="0090043D">
        <w:rPr>
          <w:sz w:val="28"/>
          <w:szCs w:val="28"/>
        </w:rPr>
        <w:t>млн.леев</w:t>
      </w:r>
      <w:proofErr w:type="spellEnd"/>
      <w:proofErr w:type="gramEnd"/>
      <w:r w:rsidRPr="0090043D">
        <w:rPr>
          <w:sz w:val="28"/>
          <w:szCs w:val="28"/>
        </w:rPr>
        <w:t xml:space="preserve"> в год (при уменьшении количества штатных единиц на 12 ед.</w:t>
      </w:r>
      <w:r>
        <w:rPr>
          <w:sz w:val="28"/>
          <w:szCs w:val="28"/>
        </w:rPr>
        <w:t>, в 2019 году было - 107, в 2020 году стало почти 95 ед.</w:t>
      </w:r>
      <w:r w:rsidRPr="0090043D">
        <w:rPr>
          <w:sz w:val="28"/>
          <w:szCs w:val="28"/>
        </w:rPr>
        <w:t>), из которых только фонд оплаты труда уве</w:t>
      </w:r>
      <w:r>
        <w:rPr>
          <w:sz w:val="28"/>
          <w:szCs w:val="28"/>
        </w:rPr>
        <w:t>личился почти на 1 млн.695 тыс.</w:t>
      </w:r>
    </w:p>
    <w:p w:rsidR="00E11C32" w:rsidRDefault="00E11C32" w:rsidP="00E11C32">
      <w:pPr>
        <w:spacing w:line="276" w:lineRule="auto"/>
        <w:jc w:val="right"/>
        <w:rPr>
          <w:i/>
        </w:rPr>
      </w:pPr>
    </w:p>
    <w:p w:rsidR="00E11C32" w:rsidRPr="003E6761" w:rsidRDefault="00E11C32" w:rsidP="00E11C32">
      <w:pPr>
        <w:spacing w:line="276" w:lineRule="auto"/>
        <w:jc w:val="right"/>
        <w:rPr>
          <w:i/>
        </w:rPr>
      </w:pPr>
      <w:r w:rsidRPr="003E6761">
        <w:rPr>
          <w:i/>
        </w:rPr>
        <w:t>Диаграмма №</w:t>
      </w:r>
      <w:r>
        <w:rPr>
          <w:i/>
        </w:rPr>
        <w:t>5</w:t>
      </w:r>
    </w:p>
    <w:p w:rsidR="00D34DCC" w:rsidRDefault="00FA0AD4" w:rsidP="0066652B">
      <w:pPr>
        <w:spacing w:line="276" w:lineRule="auto"/>
        <w:ind w:firstLine="708"/>
        <w:jc w:val="both"/>
        <w:rPr>
          <w:sz w:val="28"/>
          <w:szCs w:val="28"/>
          <w:highlight w:val="lightGray"/>
        </w:rPr>
      </w:pPr>
      <w:r>
        <w:rPr>
          <w:noProof/>
        </w:rPr>
        <w:drawing>
          <wp:inline distT="0" distB="0" distL="0" distR="0" wp14:anchorId="6430C56A" wp14:editId="6438C6EF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0AD4" w:rsidRPr="004C038F" w:rsidRDefault="00FA0AD4" w:rsidP="0066652B">
      <w:pPr>
        <w:spacing w:line="276" w:lineRule="auto"/>
        <w:ind w:firstLine="708"/>
        <w:jc w:val="both"/>
        <w:rPr>
          <w:sz w:val="28"/>
          <w:szCs w:val="28"/>
        </w:rPr>
      </w:pPr>
      <w:r w:rsidRPr="00A17413">
        <w:rPr>
          <w:sz w:val="28"/>
          <w:szCs w:val="28"/>
        </w:rPr>
        <w:t>Из</w:t>
      </w:r>
      <w:r w:rsidR="00BC63D2">
        <w:rPr>
          <w:sz w:val="28"/>
          <w:szCs w:val="28"/>
        </w:rPr>
        <w:t xml:space="preserve"> данной</w:t>
      </w:r>
      <w:r w:rsidRPr="00A17413">
        <w:rPr>
          <w:sz w:val="28"/>
          <w:szCs w:val="28"/>
        </w:rPr>
        <w:t xml:space="preserve"> диаграммы видно, что </w:t>
      </w:r>
      <w:r w:rsidR="00CA6618" w:rsidRPr="00A17413">
        <w:rPr>
          <w:sz w:val="28"/>
          <w:szCs w:val="28"/>
        </w:rPr>
        <w:t>ежегодно в «</w:t>
      </w:r>
      <w:r w:rsidR="00CA6618" w:rsidRPr="00A17413">
        <w:rPr>
          <w:sz w:val="28"/>
          <w:szCs w:val="28"/>
          <w:lang w:val="en-US"/>
        </w:rPr>
        <w:t>AP</w:t>
      </w:r>
      <w:r w:rsidR="00CA6618" w:rsidRPr="00A17413">
        <w:rPr>
          <w:sz w:val="28"/>
          <w:szCs w:val="28"/>
          <w:lang w:val="ro-MD"/>
        </w:rPr>
        <w:t>Ă-TERMO</w:t>
      </w:r>
      <w:r w:rsidR="00CA6618" w:rsidRPr="00A17413">
        <w:rPr>
          <w:sz w:val="28"/>
          <w:szCs w:val="28"/>
        </w:rPr>
        <w:t>» повышалась средняя заработная плата, кроме 2018 года, когда она уменьшилась на 178</w:t>
      </w:r>
      <w:r w:rsidR="00635223" w:rsidRPr="00A17413">
        <w:rPr>
          <w:sz w:val="28"/>
          <w:szCs w:val="28"/>
        </w:rPr>
        <w:t xml:space="preserve"> леев. В 2020 </w:t>
      </w:r>
      <w:r w:rsidR="007A1376" w:rsidRPr="00A17413">
        <w:rPr>
          <w:sz w:val="28"/>
          <w:szCs w:val="28"/>
        </w:rPr>
        <w:t>году предприятием за</w:t>
      </w:r>
      <w:r w:rsidR="00126A57">
        <w:rPr>
          <w:sz w:val="28"/>
          <w:szCs w:val="28"/>
        </w:rPr>
        <w:t>явлена</w:t>
      </w:r>
      <w:r w:rsidR="007A1376" w:rsidRPr="00A17413">
        <w:rPr>
          <w:sz w:val="28"/>
          <w:szCs w:val="28"/>
        </w:rPr>
        <w:t xml:space="preserve"> </w:t>
      </w:r>
      <w:r w:rsidR="00A17413" w:rsidRPr="00A17413">
        <w:rPr>
          <w:sz w:val="28"/>
          <w:szCs w:val="28"/>
        </w:rPr>
        <w:t xml:space="preserve">средняя заработная плата на 1 человека в месяц </w:t>
      </w:r>
      <w:r w:rsidR="00A17413" w:rsidRPr="00A17413">
        <w:rPr>
          <w:sz w:val="28"/>
          <w:szCs w:val="28"/>
        </w:rPr>
        <w:lastRenderedPageBreak/>
        <w:t xml:space="preserve">в размере </w:t>
      </w:r>
      <w:r w:rsidR="00726603">
        <w:rPr>
          <w:sz w:val="28"/>
          <w:szCs w:val="28"/>
        </w:rPr>
        <w:t xml:space="preserve">6162 лея, максимальная </w:t>
      </w:r>
      <w:r w:rsidR="00E9559D">
        <w:rPr>
          <w:sz w:val="28"/>
          <w:szCs w:val="28"/>
        </w:rPr>
        <w:t xml:space="preserve">начисленная </w:t>
      </w:r>
      <w:r w:rsidR="00BC63D2">
        <w:rPr>
          <w:sz w:val="28"/>
          <w:szCs w:val="28"/>
        </w:rPr>
        <w:t xml:space="preserve">оплата труда по предприятию </w:t>
      </w:r>
      <w:r w:rsidR="00726603">
        <w:rPr>
          <w:sz w:val="28"/>
          <w:szCs w:val="28"/>
        </w:rPr>
        <w:t xml:space="preserve">составляет </w:t>
      </w:r>
      <w:r w:rsidR="004C038F">
        <w:rPr>
          <w:sz w:val="28"/>
          <w:szCs w:val="28"/>
        </w:rPr>
        <w:t xml:space="preserve">свыше 15 </w:t>
      </w:r>
      <w:proofErr w:type="spellStart"/>
      <w:proofErr w:type="gramStart"/>
      <w:r w:rsidR="004C038F">
        <w:rPr>
          <w:sz w:val="28"/>
          <w:szCs w:val="28"/>
        </w:rPr>
        <w:t>тыс.леев</w:t>
      </w:r>
      <w:proofErr w:type="spellEnd"/>
      <w:proofErr w:type="gramEnd"/>
      <w:r w:rsidR="004C038F">
        <w:rPr>
          <w:sz w:val="28"/>
          <w:szCs w:val="28"/>
        </w:rPr>
        <w:t>.</w:t>
      </w:r>
    </w:p>
    <w:p w:rsidR="00E9559D" w:rsidRPr="00126A57" w:rsidRDefault="0076180D" w:rsidP="00126A57">
      <w:pPr>
        <w:spacing w:line="276" w:lineRule="auto"/>
        <w:ind w:firstLine="708"/>
        <w:jc w:val="both"/>
        <w:rPr>
          <w:sz w:val="28"/>
          <w:szCs w:val="28"/>
        </w:rPr>
      </w:pPr>
      <w:r w:rsidRPr="00126A57">
        <w:rPr>
          <w:sz w:val="28"/>
          <w:szCs w:val="28"/>
        </w:rPr>
        <w:t xml:space="preserve">Из Проекта основных расходов на предоставление публичных услуг по водоснабжению и канализации </w:t>
      </w:r>
      <w:r w:rsidR="003F7B60" w:rsidRPr="00126A57">
        <w:rPr>
          <w:sz w:val="28"/>
          <w:szCs w:val="28"/>
        </w:rPr>
        <w:t>в</w:t>
      </w:r>
      <w:r w:rsidRPr="00126A57">
        <w:rPr>
          <w:sz w:val="28"/>
          <w:szCs w:val="28"/>
        </w:rPr>
        <w:t xml:space="preserve"> базов</w:t>
      </w:r>
      <w:r w:rsidR="003F7B60" w:rsidRPr="00126A57">
        <w:rPr>
          <w:sz w:val="28"/>
          <w:szCs w:val="28"/>
        </w:rPr>
        <w:t>ом</w:t>
      </w:r>
      <w:r w:rsidRPr="00126A57">
        <w:rPr>
          <w:sz w:val="28"/>
          <w:szCs w:val="28"/>
        </w:rPr>
        <w:t xml:space="preserve"> 2020 год</w:t>
      </w:r>
      <w:r w:rsidR="003F7B60" w:rsidRPr="00126A57">
        <w:rPr>
          <w:sz w:val="28"/>
          <w:szCs w:val="28"/>
        </w:rPr>
        <w:t xml:space="preserve">у, которые могли бы быть включены при утверждении тарифов, «APĂ-TERMO» </w:t>
      </w:r>
      <w:r w:rsidR="00126A57">
        <w:rPr>
          <w:sz w:val="28"/>
          <w:szCs w:val="28"/>
        </w:rPr>
        <w:t>заложило</w:t>
      </w:r>
      <w:r w:rsidR="003F7B60" w:rsidRPr="00126A57">
        <w:rPr>
          <w:sz w:val="28"/>
          <w:szCs w:val="28"/>
        </w:rPr>
        <w:t xml:space="preserve"> расходы</w:t>
      </w:r>
      <w:r w:rsidR="00126A57">
        <w:rPr>
          <w:sz w:val="28"/>
          <w:szCs w:val="28"/>
        </w:rPr>
        <w:t>, а именно:</w:t>
      </w:r>
      <w:r w:rsidR="003F7B60" w:rsidRPr="00126A57">
        <w:rPr>
          <w:sz w:val="28"/>
          <w:szCs w:val="28"/>
        </w:rPr>
        <w:t xml:space="preserve"> </w:t>
      </w:r>
    </w:p>
    <w:p w:rsidR="003F7B60" w:rsidRPr="00126A57" w:rsidRDefault="006566C9" w:rsidP="003F7B60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126A57">
        <w:rPr>
          <w:sz w:val="28"/>
          <w:szCs w:val="28"/>
        </w:rPr>
        <w:t>На р</w:t>
      </w:r>
      <w:r w:rsidR="003F7B60" w:rsidRPr="00126A57">
        <w:rPr>
          <w:sz w:val="28"/>
          <w:szCs w:val="28"/>
        </w:rPr>
        <w:t>асходы по направлению административного персонала, связанные с регулируемой деятельностью</w:t>
      </w:r>
      <w:r w:rsidR="001C2276" w:rsidRPr="00126A57">
        <w:rPr>
          <w:sz w:val="28"/>
          <w:szCs w:val="28"/>
        </w:rPr>
        <w:t>,</w:t>
      </w:r>
      <w:r w:rsidR="003F7B60" w:rsidRPr="00126A57">
        <w:rPr>
          <w:sz w:val="28"/>
          <w:szCs w:val="28"/>
        </w:rPr>
        <w:t xml:space="preserve"> за</w:t>
      </w:r>
      <w:r w:rsidR="001C2276" w:rsidRPr="00126A57">
        <w:rPr>
          <w:sz w:val="28"/>
          <w:szCs w:val="28"/>
        </w:rPr>
        <w:t>ложено</w:t>
      </w:r>
      <w:r w:rsidR="003F7B60" w:rsidRPr="00126A57">
        <w:rPr>
          <w:sz w:val="28"/>
          <w:szCs w:val="28"/>
        </w:rPr>
        <w:t xml:space="preserve"> почти </w:t>
      </w:r>
      <w:r w:rsidR="001C2276" w:rsidRPr="00126A57">
        <w:rPr>
          <w:sz w:val="28"/>
          <w:szCs w:val="28"/>
        </w:rPr>
        <w:t>23</w:t>
      </w:r>
      <w:r w:rsidR="003F7B60" w:rsidRPr="00126A57">
        <w:rPr>
          <w:sz w:val="28"/>
          <w:szCs w:val="28"/>
        </w:rPr>
        <w:t xml:space="preserve"> </w:t>
      </w:r>
      <w:proofErr w:type="spellStart"/>
      <w:proofErr w:type="gramStart"/>
      <w:r w:rsidR="003F7B60" w:rsidRPr="00126A57">
        <w:rPr>
          <w:sz w:val="28"/>
          <w:szCs w:val="28"/>
        </w:rPr>
        <w:t>тыс.леев</w:t>
      </w:r>
      <w:proofErr w:type="spellEnd"/>
      <w:proofErr w:type="gramEnd"/>
      <w:r w:rsidR="001C2276" w:rsidRPr="00126A57">
        <w:rPr>
          <w:sz w:val="28"/>
          <w:szCs w:val="28"/>
        </w:rPr>
        <w:t>, при это</w:t>
      </w:r>
      <w:r w:rsidRPr="00126A57">
        <w:rPr>
          <w:sz w:val="28"/>
          <w:szCs w:val="28"/>
        </w:rPr>
        <w:t>м</w:t>
      </w:r>
      <w:r w:rsidR="001C2276" w:rsidRPr="00126A57">
        <w:rPr>
          <w:sz w:val="28"/>
          <w:szCs w:val="28"/>
        </w:rPr>
        <w:t xml:space="preserve"> НАРЭ исключило </w:t>
      </w:r>
      <w:r w:rsidRPr="00126A57">
        <w:rPr>
          <w:sz w:val="28"/>
          <w:szCs w:val="28"/>
        </w:rPr>
        <w:t>расходы на обучение в Техническом университете в сумме 16 тыс. 300 леев</w:t>
      </w:r>
      <w:r w:rsidR="001C2276" w:rsidRPr="00126A57">
        <w:rPr>
          <w:sz w:val="28"/>
          <w:szCs w:val="28"/>
        </w:rPr>
        <w:t>.</w:t>
      </w:r>
    </w:p>
    <w:p w:rsidR="003F7B60" w:rsidRPr="00126A57" w:rsidRDefault="003F7B60" w:rsidP="003F7B60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126A57">
        <w:rPr>
          <w:sz w:val="28"/>
          <w:szCs w:val="28"/>
        </w:rPr>
        <w:t xml:space="preserve">На профессиональную подготовку и повышение квалификации </w:t>
      </w:r>
      <w:proofErr w:type="spellStart"/>
      <w:proofErr w:type="gramStart"/>
      <w:r w:rsidRPr="00126A57">
        <w:rPr>
          <w:sz w:val="28"/>
          <w:szCs w:val="28"/>
        </w:rPr>
        <w:t>админ.персонала</w:t>
      </w:r>
      <w:proofErr w:type="spellEnd"/>
      <w:proofErr w:type="gramEnd"/>
      <w:r w:rsidRPr="00126A57">
        <w:rPr>
          <w:sz w:val="28"/>
          <w:szCs w:val="28"/>
        </w:rPr>
        <w:t xml:space="preserve"> </w:t>
      </w:r>
      <w:r w:rsidR="006566C9" w:rsidRPr="00126A57">
        <w:rPr>
          <w:sz w:val="28"/>
          <w:szCs w:val="28"/>
        </w:rPr>
        <w:t xml:space="preserve">заложено </w:t>
      </w:r>
      <w:r w:rsidRPr="00126A57">
        <w:rPr>
          <w:sz w:val="28"/>
          <w:szCs w:val="28"/>
        </w:rPr>
        <w:t>ещё 5 тыс. 270</w:t>
      </w:r>
      <w:r w:rsidR="006566C9" w:rsidRPr="00126A57">
        <w:rPr>
          <w:sz w:val="28"/>
          <w:szCs w:val="28"/>
        </w:rPr>
        <w:t xml:space="preserve"> </w:t>
      </w:r>
      <w:r w:rsidRPr="00126A57">
        <w:rPr>
          <w:sz w:val="28"/>
          <w:szCs w:val="28"/>
        </w:rPr>
        <w:t>леев.</w:t>
      </w:r>
    </w:p>
    <w:p w:rsidR="006566C9" w:rsidRPr="00126A57" w:rsidRDefault="003F7B60" w:rsidP="003F7B60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proofErr w:type="gramStart"/>
      <w:r w:rsidRPr="00126A57">
        <w:rPr>
          <w:sz w:val="28"/>
          <w:szCs w:val="28"/>
        </w:rPr>
        <w:t xml:space="preserve">На  </w:t>
      </w:r>
      <w:r w:rsidR="006566C9" w:rsidRPr="00126A57">
        <w:rPr>
          <w:sz w:val="28"/>
          <w:szCs w:val="28"/>
        </w:rPr>
        <w:t>интернет</w:t>
      </w:r>
      <w:proofErr w:type="gramEnd"/>
      <w:r w:rsidR="006566C9" w:rsidRPr="00126A57">
        <w:rPr>
          <w:sz w:val="28"/>
          <w:szCs w:val="28"/>
        </w:rPr>
        <w:t xml:space="preserve">, телефон и </w:t>
      </w:r>
      <w:r w:rsidRPr="00126A57">
        <w:rPr>
          <w:sz w:val="28"/>
          <w:szCs w:val="28"/>
        </w:rPr>
        <w:t xml:space="preserve">услуги почты </w:t>
      </w:r>
      <w:r w:rsidR="006566C9" w:rsidRPr="00126A57">
        <w:rPr>
          <w:sz w:val="28"/>
          <w:szCs w:val="28"/>
        </w:rPr>
        <w:t>заложено около 60</w:t>
      </w:r>
      <w:r w:rsidRPr="00126A57">
        <w:rPr>
          <w:sz w:val="28"/>
          <w:szCs w:val="28"/>
        </w:rPr>
        <w:t xml:space="preserve"> </w:t>
      </w:r>
      <w:proofErr w:type="spellStart"/>
      <w:r w:rsidRPr="00126A57">
        <w:rPr>
          <w:sz w:val="28"/>
          <w:szCs w:val="28"/>
        </w:rPr>
        <w:t>тыс.леев</w:t>
      </w:r>
      <w:proofErr w:type="spellEnd"/>
      <w:r w:rsidRPr="00126A57">
        <w:rPr>
          <w:sz w:val="28"/>
          <w:szCs w:val="28"/>
        </w:rPr>
        <w:t>, при</w:t>
      </w:r>
      <w:r w:rsidR="006566C9" w:rsidRPr="00126A57">
        <w:rPr>
          <w:sz w:val="28"/>
          <w:szCs w:val="28"/>
        </w:rPr>
        <w:t xml:space="preserve"> этом НАРЭ сократила эту сумму </w:t>
      </w:r>
      <w:r w:rsidR="00B951DE" w:rsidRPr="00126A57">
        <w:rPr>
          <w:sz w:val="28"/>
          <w:szCs w:val="28"/>
        </w:rPr>
        <w:t xml:space="preserve">почти на 21,2 </w:t>
      </w:r>
      <w:proofErr w:type="spellStart"/>
      <w:r w:rsidR="006566C9" w:rsidRPr="00126A57">
        <w:rPr>
          <w:sz w:val="28"/>
          <w:szCs w:val="28"/>
        </w:rPr>
        <w:t>тыс.леев</w:t>
      </w:r>
      <w:proofErr w:type="spellEnd"/>
      <w:r w:rsidR="00B951DE" w:rsidRPr="00126A57">
        <w:rPr>
          <w:sz w:val="28"/>
          <w:szCs w:val="28"/>
        </w:rPr>
        <w:t>, обосновывая исключением услуг мобильной связи сверх абонемента и учитывая почтовые услуги на уровне 2019 года (т.е. при наличии контролёров, оплачиваются услуги по разноске квитанций).</w:t>
      </w:r>
    </w:p>
    <w:p w:rsidR="003F7B60" w:rsidRPr="00126A57" w:rsidRDefault="003F7B60" w:rsidP="00A9240D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126A57">
        <w:rPr>
          <w:sz w:val="28"/>
          <w:szCs w:val="28"/>
        </w:rPr>
        <w:t xml:space="preserve">На </w:t>
      </w:r>
      <w:r w:rsidR="00B951DE" w:rsidRPr="00126A57">
        <w:rPr>
          <w:sz w:val="28"/>
          <w:szCs w:val="28"/>
        </w:rPr>
        <w:t xml:space="preserve">оплату труда </w:t>
      </w:r>
      <w:r w:rsidRPr="00126A57">
        <w:rPr>
          <w:sz w:val="28"/>
          <w:szCs w:val="28"/>
        </w:rPr>
        <w:t xml:space="preserve">членов Совета АО запрошено почти 59,5 </w:t>
      </w:r>
      <w:proofErr w:type="spellStart"/>
      <w:proofErr w:type="gramStart"/>
      <w:r w:rsidRPr="00126A57">
        <w:rPr>
          <w:sz w:val="28"/>
          <w:szCs w:val="28"/>
        </w:rPr>
        <w:t>тыс.леев</w:t>
      </w:r>
      <w:proofErr w:type="spellEnd"/>
      <w:proofErr w:type="gramEnd"/>
      <w:r w:rsidRPr="00126A57">
        <w:rPr>
          <w:sz w:val="28"/>
          <w:szCs w:val="28"/>
        </w:rPr>
        <w:t xml:space="preserve">, но НАРЭ предлагает 0 леев. </w:t>
      </w:r>
      <w:proofErr w:type="spellStart"/>
      <w:r w:rsidRPr="00126A57">
        <w:rPr>
          <w:sz w:val="28"/>
          <w:szCs w:val="28"/>
        </w:rPr>
        <w:t>Т.о</w:t>
      </w:r>
      <w:proofErr w:type="spellEnd"/>
      <w:r w:rsidRPr="00126A57">
        <w:rPr>
          <w:sz w:val="28"/>
          <w:szCs w:val="28"/>
        </w:rPr>
        <w:t>. оплата труда членов совета</w:t>
      </w:r>
      <w:r w:rsidR="00C33F9B" w:rsidRPr="00126A57">
        <w:rPr>
          <w:sz w:val="28"/>
          <w:szCs w:val="28"/>
        </w:rPr>
        <w:t xml:space="preserve"> акционерного общества</w:t>
      </w:r>
      <w:r w:rsidRPr="00126A57">
        <w:rPr>
          <w:sz w:val="28"/>
          <w:szCs w:val="28"/>
        </w:rPr>
        <w:t xml:space="preserve"> н</w:t>
      </w:r>
      <w:r w:rsidR="00B951DE" w:rsidRPr="00126A57">
        <w:rPr>
          <w:sz w:val="28"/>
          <w:szCs w:val="28"/>
        </w:rPr>
        <w:t>е должна быть заложена в расходах</w:t>
      </w:r>
      <w:r w:rsidRPr="00126A57">
        <w:rPr>
          <w:sz w:val="28"/>
          <w:szCs w:val="28"/>
        </w:rPr>
        <w:t>, влияющи</w:t>
      </w:r>
      <w:r w:rsidR="00B951DE" w:rsidRPr="00126A57">
        <w:rPr>
          <w:sz w:val="28"/>
          <w:szCs w:val="28"/>
        </w:rPr>
        <w:t>х</w:t>
      </w:r>
      <w:r w:rsidRPr="00126A57">
        <w:rPr>
          <w:sz w:val="28"/>
          <w:szCs w:val="28"/>
        </w:rPr>
        <w:t xml:space="preserve"> на тариф, так же как и взносы в </w:t>
      </w:r>
      <w:r w:rsidR="00A9240D" w:rsidRPr="00126A57">
        <w:rPr>
          <w:sz w:val="28"/>
          <w:szCs w:val="28"/>
        </w:rPr>
        <w:t>А</w:t>
      </w:r>
      <w:r w:rsidRPr="00126A57">
        <w:rPr>
          <w:sz w:val="28"/>
          <w:szCs w:val="28"/>
        </w:rPr>
        <w:t xml:space="preserve">ссоциацию </w:t>
      </w:r>
      <w:r w:rsidR="00A9240D" w:rsidRPr="00126A57">
        <w:rPr>
          <w:sz w:val="28"/>
          <w:szCs w:val="28"/>
        </w:rPr>
        <w:t>"</w:t>
      </w:r>
      <w:proofErr w:type="spellStart"/>
      <w:r w:rsidR="00A9240D" w:rsidRPr="00126A57">
        <w:rPr>
          <w:sz w:val="28"/>
          <w:szCs w:val="28"/>
        </w:rPr>
        <w:t>Moldova</w:t>
      </w:r>
      <w:proofErr w:type="spellEnd"/>
      <w:r w:rsidR="00A9240D" w:rsidRPr="00126A57">
        <w:rPr>
          <w:sz w:val="28"/>
          <w:szCs w:val="28"/>
        </w:rPr>
        <w:t xml:space="preserve"> </w:t>
      </w:r>
      <w:proofErr w:type="spellStart"/>
      <w:r w:rsidR="00A9240D" w:rsidRPr="00126A57">
        <w:rPr>
          <w:sz w:val="28"/>
          <w:szCs w:val="28"/>
        </w:rPr>
        <w:t>Apă</w:t>
      </w:r>
      <w:r w:rsidR="00B951DE" w:rsidRPr="00126A57">
        <w:rPr>
          <w:sz w:val="28"/>
          <w:szCs w:val="28"/>
        </w:rPr>
        <w:t>-Canal</w:t>
      </w:r>
      <w:proofErr w:type="spellEnd"/>
      <w:r w:rsidR="00B951DE" w:rsidRPr="00126A57">
        <w:rPr>
          <w:sz w:val="28"/>
          <w:szCs w:val="28"/>
        </w:rPr>
        <w:t>"</w:t>
      </w:r>
      <w:r w:rsidR="00C33F9B" w:rsidRPr="00126A57">
        <w:rPr>
          <w:sz w:val="28"/>
          <w:szCs w:val="28"/>
        </w:rPr>
        <w:t xml:space="preserve"> в размере</w:t>
      </w:r>
      <w:r w:rsidRPr="00126A57">
        <w:rPr>
          <w:sz w:val="28"/>
          <w:szCs w:val="28"/>
        </w:rPr>
        <w:t xml:space="preserve">19,8 </w:t>
      </w:r>
      <w:proofErr w:type="spellStart"/>
      <w:proofErr w:type="gramStart"/>
      <w:r w:rsidRPr="00126A57">
        <w:rPr>
          <w:sz w:val="28"/>
          <w:szCs w:val="28"/>
        </w:rPr>
        <w:t>тыс.леев</w:t>
      </w:r>
      <w:proofErr w:type="spellEnd"/>
      <w:proofErr w:type="gramEnd"/>
      <w:r w:rsidRPr="00126A57">
        <w:rPr>
          <w:sz w:val="28"/>
          <w:szCs w:val="28"/>
        </w:rPr>
        <w:t>.</w:t>
      </w:r>
    </w:p>
    <w:p w:rsidR="00C33F9B" w:rsidRPr="00126A57" w:rsidRDefault="00126A57" w:rsidP="00126A5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126A57">
        <w:rPr>
          <w:sz w:val="28"/>
          <w:szCs w:val="28"/>
        </w:rPr>
        <w:t>Другие основные расходы.</w:t>
      </w:r>
    </w:p>
    <w:p w:rsidR="00044C4B" w:rsidRPr="00126A57" w:rsidRDefault="00A97FCC" w:rsidP="00044C4B">
      <w:pPr>
        <w:spacing w:line="276" w:lineRule="auto"/>
        <w:ind w:firstLine="708"/>
        <w:jc w:val="both"/>
        <w:rPr>
          <w:sz w:val="28"/>
          <w:szCs w:val="28"/>
        </w:rPr>
      </w:pPr>
      <w:r w:rsidRPr="00126A57">
        <w:rPr>
          <w:sz w:val="28"/>
          <w:szCs w:val="28"/>
        </w:rPr>
        <w:t xml:space="preserve">Общая сумма, на которую НАРЭ </w:t>
      </w:r>
      <w:r w:rsidR="00044C4B" w:rsidRPr="00126A57">
        <w:rPr>
          <w:sz w:val="28"/>
          <w:szCs w:val="28"/>
        </w:rPr>
        <w:t xml:space="preserve">предложило </w:t>
      </w:r>
      <w:r w:rsidRPr="00126A57">
        <w:rPr>
          <w:sz w:val="28"/>
          <w:szCs w:val="28"/>
        </w:rPr>
        <w:t>уменьши</w:t>
      </w:r>
      <w:r w:rsidR="00044C4B" w:rsidRPr="00126A57">
        <w:rPr>
          <w:sz w:val="28"/>
          <w:szCs w:val="28"/>
        </w:rPr>
        <w:t>ть</w:t>
      </w:r>
      <w:r w:rsidRPr="00126A57">
        <w:rPr>
          <w:sz w:val="28"/>
          <w:szCs w:val="28"/>
        </w:rPr>
        <w:t xml:space="preserve"> представленные расходы предприятия </w:t>
      </w:r>
      <w:r w:rsidR="00044C4B" w:rsidRPr="00126A57">
        <w:rPr>
          <w:sz w:val="28"/>
          <w:szCs w:val="28"/>
        </w:rPr>
        <w:t xml:space="preserve">составляет 591,2 </w:t>
      </w:r>
      <w:proofErr w:type="spellStart"/>
      <w:proofErr w:type="gramStart"/>
      <w:r w:rsidR="00044C4B" w:rsidRPr="00126A57">
        <w:rPr>
          <w:sz w:val="28"/>
          <w:szCs w:val="28"/>
        </w:rPr>
        <w:t>тыс.леев</w:t>
      </w:r>
      <w:proofErr w:type="spellEnd"/>
      <w:proofErr w:type="gramEnd"/>
      <w:r w:rsidR="00044C4B" w:rsidRPr="00126A57">
        <w:rPr>
          <w:sz w:val="28"/>
          <w:szCs w:val="28"/>
        </w:rPr>
        <w:t>.</w:t>
      </w:r>
    </w:p>
    <w:p w:rsidR="00E9559D" w:rsidRPr="00633FA0" w:rsidRDefault="00A9240D" w:rsidP="0066652B">
      <w:pPr>
        <w:spacing w:line="276" w:lineRule="auto"/>
        <w:ind w:firstLine="708"/>
        <w:jc w:val="both"/>
        <w:rPr>
          <w:sz w:val="28"/>
          <w:szCs w:val="28"/>
        </w:rPr>
      </w:pPr>
      <w:r w:rsidRPr="00633FA0">
        <w:rPr>
          <w:sz w:val="28"/>
          <w:szCs w:val="28"/>
        </w:rPr>
        <w:t xml:space="preserve">В заключение, </w:t>
      </w:r>
      <w:r w:rsidR="005B4D37" w:rsidRPr="00633FA0">
        <w:rPr>
          <w:sz w:val="28"/>
          <w:szCs w:val="28"/>
        </w:rPr>
        <w:t xml:space="preserve">обращаем внимание, что </w:t>
      </w:r>
      <w:r w:rsidRPr="00633FA0">
        <w:rPr>
          <w:sz w:val="28"/>
          <w:szCs w:val="28"/>
        </w:rPr>
        <w:t>в данном анализе были рассмотрены только расходы, включённые или</w:t>
      </w:r>
      <w:r w:rsidR="00C33F9B" w:rsidRPr="00633FA0">
        <w:rPr>
          <w:sz w:val="28"/>
          <w:szCs w:val="28"/>
        </w:rPr>
        <w:t>,</w:t>
      </w:r>
      <w:r w:rsidRPr="00633FA0">
        <w:rPr>
          <w:sz w:val="28"/>
          <w:szCs w:val="28"/>
        </w:rPr>
        <w:t xml:space="preserve"> </w:t>
      </w:r>
      <w:r w:rsidR="00C33F9B" w:rsidRPr="00633FA0">
        <w:rPr>
          <w:sz w:val="28"/>
          <w:szCs w:val="28"/>
        </w:rPr>
        <w:t>которые могли быть включены,</w:t>
      </w:r>
      <w:r w:rsidRPr="00633FA0">
        <w:rPr>
          <w:sz w:val="28"/>
          <w:szCs w:val="28"/>
        </w:rPr>
        <w:t xml:space="preserve"> по запросу АО «APĂ-TERMO»</w:t>
      </w:r>
      <w:r w:rsidR="00C33F9B" w:rsidRPr="00633FA0">
        <w:rPr>
          <w:sz w:val="28"/>
          <w:szCs w:val="28"/>
        </w:rPr>
        <w:t>,</w:t>
      </w:r>
      <w:r w:rsidRPr="00633FA0">
        <w:rPr>
          <w:sz w:val="28"/>
          <w:szCs w:val="28"/>
        </w:rPr>
        <w:t xml:space="preserve"> в </w:t>
      </w:r>
      <w:r w:rsidR="00C33F9B" w:rsidRPr="00633FA0">
        <w:rPr>
          <w:sz w:val="28"/>
          <w:szCs w:val="28"/>
        </w:rPr>
        <w:t>тарифы</w:t>
      </w:r>
      <w:r w:rsidRPr="00633FA0">
        <w:rPr>
          <w:sz w:val="28"/>
          <w:szCs w:val="28"/>
        </w:rPr>
        <w:t xml:space="preserve"> на публичную услугу водоснабжения и канализации, предоставляемых </w:t>
      </w:r>
      <w:proofErr w:type="spellStart"/>
      <w:r w:rsidRPr="00633FA0">
        <w:rPr>
          <w:sz w:val="28"/>
          <w:szCs w:val="28"/>
        </w:rPr>
        <w:t>Чадыр-Лунгским</w:t>
      </w:r>
      <w:proofErr w:type="spellEnd"/>
      <w:r w:rsidRPr="00633FA0">
        <w:rPr>
          <w:sz w:val="28"/>
          <w:szCs w:val="28"/>
        </w:rPr>
        <w:t xml:space="preserve"> предприятием. </w:t>
      </w:r>
      <w:r w:rsidR="00E11C32" w:rsidRPr="00633FA0">
        <w:rPr>
          <w:sz w:val="28"/>
          <w:szCs w:val="28"/>
        </w:rPr>
        <w:t>У предприятия имеются и другие расходы, не заложенные в тарифах.</w:t>
      </w:r>
    </w:p>
    <w:sectPr w:rsidR="00E9559D" w:rsidRPr="00633FA0" w:rsidSect="00633FA0">
      <w:pgSz w:w="11906" w:h="16838" w:code="9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DC0"/>
    <w:multiLevelType w:val="hybridMultilevel"/>
    <w:tmpl w:val="C67E57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0347A"/>
    <w:multiLevelType w:val="hybridMultilevel"/>
    <w:tmpl w:val="B4908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36404"/>
    <w:multiLevelType w:val="hybridMultilevel"/>
    <w:tmpl w:val="5CA82C4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8405304"/>
    <w:multiLevelType w:val="hybridMultilevel"/>
    <w:tmpl w:val="D92AD56E"/>
    <w:lvl w:ilvl="0" w:tplc="E5F46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E82102"/>
    <w:multiLevelType w:val="hybridMultilevel"/>
    <w:tmpl w:val="A13CE270"/>
    <w:lvl w:ilvl="0" w:tplc="42E6E2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142097"/>
    <w:multiLevelType w:val="hybridMultilevel"/>
    <w:tmpl w:val="F418C5A2"/>
    <w:lvl w:ilvl="0" w:tplc="0419000B">
      <w:start w:val="1"/>
      <w:numFmt w:val="bullet"/>
      <w:lvlText w:val="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36E07109"/>
    <w:multiLevelType w:val="hybridMultilevel"/>
    <w:tmpl w:val="7B62C7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B79C8"/>
    <w:multiLevelType w:val="hybridMultilevel"/>
    <w:tmpl w:val="60F4D1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404"/>
    <w:multiLevelType w:val="hybridMultilevel"/>
    <w:tmpl w:val="D92AD56E"/>
    <w:lvl w:ilvl="0" w:tplc="E5F46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1E18E6"/>
    <w:multiLevelType w:val="hybridMultilevel"/>
    <w:tmpl w:val="923A4DC8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 w15:restartNumberingAfterBreak="0">
    <w:nsid w:val="765D208D"/>
    <w:multiLevelType w:val="hybridMultilevel"/>
    <w:tmpl w:val="FA042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2B"/>
    <w:rsid w:val="00044C4B"/>
    <w:rsid w:val="0004790C"/>
    <w:rsid w:val="000901B2"/>
    <w:rsid w:val="000E0915"/>
    <w:rsid w:val="000E7E6F"/>
    <w:rsid w:val="00126A57"/>
    <w:rsid w:val="00127A93"/>
    <w:rsid w:val="001A1E00"/>
    <w:rsid w:val="001C2276"/>
    <w:rsid w:val="001D2D59"/>
    <w:rsid w:val="0022295E"/>
    <w:rsid w:val="00241B4F"/>
    <w:rsid w:val="00264929"/>
    <w:rsid w:val="00276E67"/>
    <w:rsid w:val="00282EEB"/>
    <w:rsid w:val="002A3ABF"/>
    <w:rsid w:val="002D482F"/>
    <w:rsid w:val="0030118C"/>
    <w:rsid w:val="00311FE8"/>
    <w:rsid w:val="00340264"/>
    <w:rsid w:val="00376608"/>
    <w:rsid w:val="003E6761"/>
    <w:rsid w:val="003F3DCE"/>
    <w:rsid w:val="003F7B60"/>
    <w:rsid w:val="004077E1"/>
    <w:rsid w:val="00427988"/>
    <w:rsid w:val="00482373"/>
    <w:rsid w:val="004B2435"/>
    <w:rsid w:val="004C038F"/>
    <w:rsid w:val="004F6E5A"/>
    <w:rsid w:val="0053099C"/>
    <w:rsid w:val="0055190D"/>
    <w:rsid w:val="00554EC2"/>
    <w:rsid w:val="005B4D37"/>
    <w:rsid w:val="0061714A"/>
    <w:rsid w:val="00633FA0"/>
    <w:rsid w:val="00635223"/>
    <w:rsid w:val="00652F6A"/>
    <w:rsid w:val="00653331"/>
    <w:rsid w:val="006566C9"/>
    <w:rsid w:val="0066652B"/>
    <w:rsid w:val="006C0B77"/>
    <w:rsid w:val="006E73FC"/>
    <w:rsid w:val="006F116E"/>
    <w:rsid w:val="006F6C7B"/>
    <w:rsid w:val="00726603"/>
    <w:rsid w:val="00740DF8"/>
    <w:rsid w:val="00753C11"/>
    <w:rsid w:val="0076180D"/>
    <w:rsid w:val="00763598"/>
    <w:rsid w:val="007A1376"/>
    <w:rsid w:val="007B382F"/>
    <w:rsid w:val="007C04F8"/>
    <w:rsid w:val="007E2D47"/>
    <w:rsid w:val="007E428C"/>
    <w:rsid w:val="007F4ED4"/>
    <w:rsid w:val="008201C7"/>
    <w:rsid w:val="008242FF"/>
    <w:rsid w:val="00826BAB"/>
    <w:rsid w:val="008400CF"/>
    <w:rsid w:val="00841D37"/>
    <w:rsid w:val="00860F3F"/>
    <w:rsid w:val="008676F4"/>
    <w:rsid w:val="00870751"/>
    <w:rsid w:val="00886C53"/>
    <w:rsid w:val="008B7C89"/>
    <w:rsid w:val="0090043D"/>
    <w:rsid w:val="00922C48"/>
    <w:rsid w:val="00922D55"/>
    <w:rsid w:val="00976F68"/>
    <w:rsid w:val="00983887"/>
    <w:rsid w:val="009C6EA7"/>
    <w:rsid w:val="009D3432"/>
    <w:rsid w:val="00A17413"/>
    <w:rsid w:val="00A803F6"/>
    <w:rsid w:val="00A90B4F"/>
    <w:rsid w:val="00A9240D"/>
    <w:rsid w:val="00A97FCC"/>
    <w:rsid w:val="00AB35E3"/>
    <w:rsid w:val="00AB6D32"/>
    <w:rsid w:val="00AC40BD"/>
    <w:rsid w:val="00B1165D"/>
    <w:rsid w:val="00B915B7"/>
    <w:rsid w:val="00B951DE"/>
    <w:rsid w:val="00BC63D2"/>
    <w:rsid w:val="00BC7CD7"/>
    <w:rsid w:val="00C33F9B"/>
    <w:rsid w:val="00C34234"/>
    <w:rsid w:val="00C4747B"/>
    <w:rsid w:val="00CA6618"/>
    <w:rsid w:val="00CB3693"/>
    <w:rsid w:val="00CC2688"/>
    <w:rsid w:val="00CF17B3"/>
    <w:rsid w:val="00D1019F"/>
    <w:rsid w:val="00D34DCC"/>
    <w:rsid w:val="00D70632"/>
    <w:rsid w:val="00D90AAD"/>
    <w:rsid w:val="00D94AD0"/>
    <w:rsid w:val="00DE2784"/>
    <w:rsid w:val="00DE5945"/>
    <w:rsid w:val="00E11C32"/>
    <w:rsid w:val="00E41EF8"/>
    <w:rsid w:val="00E815E0"/>
    <w:rsid w:val="00E9559D"/>
    <w:rsid w:val="00EA59DF"/>
    <w:rsid w:val="00EB4AE7"/>
    <w:rsid w:val="00EE29D7"/>
    <w:rsid w:val="00EE4070"/>
    <w:rsid w:val="00EE4BD1"/>
    <w:rsid w:val="00EF48D8"/>
    <w:rsid w:val="00F12C76"/>
    <w:rsid w:val="00F22C2A"/>
    <w:rsid w:val="00F66CA5"/>
    <w:rsid w:val="00F92099"/>
    <w:rsid w:val="00FA0AD4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2232"/>
  <w15:chartTrackingRefBased/>
  <w15:docId w15:val="{3D867C2B-7446-4F71-98B2-AC774069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9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4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4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b">
    <w:name w:val="cb"/>
    <w:basedOn w:val="a"/>
    <w:rsid w:val="000901B2"/>
    <w:pPr>
      <w:jc w:val="center"/>
    </w:pPr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55;&#1069;-&#1058;&#1045;&#1056;&#1052;&#1054;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55;&#1069;-&#1058;&#1045;&#1056;&#1052;&#1054;\&#1044;&#1080;&#1072;&#1075;&#1088;&#1072;&#1084;&#1084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55;&#1069;-&#1058;&#1045;&#1056;&#1052;&#1054;\&#1044;&#1080;&#1072;&#1075;&#1088;&#1072;&#1084;&#1084;&#1099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чистой прибыли/убытков (тыс.леев)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1914260717410323E-2"/>
          <c:y val="0.17804589473337776"/>
          <c:w val="0.87753018372703417"/>
          <c:h val="0.79899686520376179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0.17500010936132984"/>
                  <c:y val="-1.58353127474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3751093613298"/>
                      <c:h val="6.362628661916072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25E-4985-BCDC-6E3A612CD118}"/>
                </c:ext>
              </c:extLst>
            </c:dLbl>
            <c:dLbl>
              <c:idx val="1"/>
              <c:layout>
                <c:manualLayout>
                  <c:x val="-7.5166666666666715E-2"/>
                  <c:y val="-5.06730007917656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5E-4985-BCDC-6E3A612CD118}"/>
                </c:ext>
              </c:extLst>
            </c:dLbl>
            <c:dLbl>
              <c:idx val="2"/>
              <c:layout>
                <c:manualLayout>
                  <c:x val="1.588888888888889E-2"/>
                  <c:y val="-2.2169313158895518E-2"/>
                </c:manualLayout>
              </c:layout>
              <c:spPr>
                <a:solidFill>
                  <a:srgbClr val="0070C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322222222222222"/>
                      <c:h val="4.74585569915399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425E-4985-BCDC-6E3A612CD118}"/>
                </c:ext>
              </c:extLst>
            </c:dLbl>
            <c:dLbl>
              <c:idx val="3"/>
              <c:layout>
                <c:manualLayout>
                  <c:x val="2.4714076094818857E-3"/>
                  <c:y val="-1.2314439326649062E-16"/>
                </c:manualLayout>
              </c:layout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5E-4985-BCDC-6E3A612CD118}"/>
                </c:ext>
              </c:extLst>
            </c:dLbl>
            <c:spPr>
              <a:solidFill>
                <a:srgbClr val="0070C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Лист4!$B$7:$B$10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Лист4!$C$7:$C$10</c:f>
              <c:numCache>
                <c:formatCode>General</c:formatCode>
                <c:ptCount val="4"/>
                <c:pt idx="0">
                  <c:v>84.3</c:v>
                </c:pt>
                <c:pt idx="1">
                  <c:v>2413.4</c:v>
                </c:pt>
                <c:pt idx="2">
                  <c:v>144.4</c:v>
                </c:pt>
                <c:pt idx="3">
                  <c:v>-169.1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25E-4985-BCDC-6E3A612CD11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upDownBars>
          <c:gapWidth val="150"/>
          <c:upBars>
            <c:spPr>
              <a:solidFill>
                <a:schemeClr val="lt1"/>
              </a:solidFill>
              <a:ln w="9525">
                <a:solidFill>
                  <a:schemeClr val="dk1">
                    <a:lumMod val="65000"/>
                    <a:lumOff val="3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50000"/>
                  <a:lumOff val="50000"/>
                </a:schemeClr>
              </a:solidFill>
              <a:ln w="9525">
                <a:solidFill>
                  <a:schemeClr val="dk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1"/>
        <c:smooth val="0"/>
        <c:axId val="441139232"/>
        <c:axId val="441139560"/>
      </c:lineChart>
      <c:catAx>
        <c:axId val="441139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ln w="19050" cap="flat" cmpd="sng" algn="ctr">
            <a:solidFill>
              <a:srgbClr val="C00000"/>
            </a:solidFill>
            <a:round/>
          </a:ln>
          <a:effectLst/>
        </c:spPr>
        <c:txPr>
          <a:bodyPr rot="-5400000" spcFirstLastPara="1" vertOverflow="ellipsis" wrap="square" anchor="b" anchorCtr="0"/>
          <a:lstStyle/>
          <a:p>
            <a:pPr>
              <a:defRPr sz="1200" b="0" i="0" u="none" strike="noStrike" kern="1200" cap="all" baseline="0">
                <a:ln>
                  <a:noFill/>
                </a:ln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139560"/>
        <c:crosses val="autoZero"/>
        <c:auto val="1"/>
        <c:lblAlgn val="ctr"/>
        <c:lblOffset val="100"/>
        <c:noMultiLvlLbl val="0"/>
      </c:catAx>
      <c:valAx>
        <c:axId val="4411395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44113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/>
              <a:t>Основные</a:t>
            </a:r>
            <a:r>
              <a:rPr lang="ru-RU" sz="1800" baseline="0"/>
              <a:t> расходы</a:t>
            </a:r>
            <a:r>
              <a:rPr lang="ru-RU" sz="1800" b="1">
                <a:effectLst/>
              </a:rPr>
              <a:t> АО «APĂ-TERMO»</a:t>
            </a:r>
            <a:endParaRPr lang="ru-RU" sz="1800"/>
          </a:p>
        </c:rich>
      </c:tx>
      <c:layout>
        <c:manualLayout>
          <c:xMode val="edge"/>
          <c:yMode val="edge"/>
          <c:x val="0.1182689732844168"/>
          <c:y val="0.117444112589374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Лист1!$A$24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Лист1!$B$24</c:f>
              <c:numCache>
                <c:formatCode>#,##0</c:formatCode>
                <c:ptCount val="1"/>
                <c:pt idx="0">
                  <c:v>5084008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66-415A-8C6F-303793F4B2F8}"/>
            </c:ext>
          </c:extLst>
        </c:ser>
        <c:ser>
          <c:idx val="1"/>
          <c:order val="1"/>
          <c:tx>
            <c:strRef>
              <c:f>Лист1!$A$25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Лист1!$B$25</c:f>
              <c:numCache>
                <c:formatCode>#,##0</c:formatCode>
                <c:ptCount val="1"/>
                <c:pt idx="0">
                  <c:v>5350051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66-415A-8C6F-303793F4B2F8}"/>
            </c:ext>
          </c:extLst>
        </c:ser>
        <c:ser>
          <c:idx val="2"/>
          <c:order val="2"/>
          <c:tx>
            <c:strRef>
              <c:f>Лист1!$A$26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Лист1!$B$26</c:f>
              <c:numCache>
                <c:formatCode>#,##0</c:formatCode>
                <c:ptCount val="1"/>
                <c:pt idx="0">
                  <c:v>5848815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66-415A-8C6F-303793F4B2F8}"/>
            </c:ext>
          </c:extLst>
        </c:ser>
        <c:ser>
          <c:idx val="3"/>
          <c:order val="3"/>
          <c:tx>
            <c:strRef>
              <c:f>Лист1!$A$27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Лист1!$B$27</c:f>
              <c:numCache>
                <c:formatCode>#,##0</c:formatCode>
                <c:ptCount val="1"/>
                <c:pt idx="0">
                  <c:v>6125267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66-415A-8C6F-303793F4B2F8}"/>
            </c:ext>
          </c:extLst>
        </c:ser>
        <c:ser>
          <c:idx val="4"/>
          <c:order val="4"/>
          <c:tx>
            <c:strRef>
              <c:f>Лист1!$A$28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2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2566-415A-8C6F-303793F4B2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Лист1!$B$28</c:f>
              <c:numCache>
                <c:formatCode>#,##0</c:formatCode>
                <c:ptCount val="1"/>
                <c:pt idx="0">
                  <c:v>7217045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566-415A-8C6F-303793F4B2F8}"/>
            </c:ext>
          </c:extLst>
        </c:ser>
        <c:ser>
          <c:idx val="5"/>
          <c:order val="5"/>
          <c:tx>
            <c:strRef>
              <c:f>Лист1!$A$29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Лист1!$B$29</c:f>
              <c:numCache>
                <c:formatCode>#,##0</c:formatCode>
                <c:ptCount val="1"/>
                <c:pt idx="0">
                  <c:v>9947064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566-415A-8C6F-303793F4B2F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7611448"/>
        <c:axId val="387608496"/>
      </c:barChart>
      <c:catAx>
        <c:axId val="387611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608496"/>
        <c:crosses val="autoZero"/>
        <c:auto val="1"/>
        <c:lblAlgn val="ctr"/>
        <c:lblOffset val="100"/>
        <c:noMultiLvlLbl val="0"/>
      </c:catAx>
      <c:valAx>
        <c:axId val="3876084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/>
                  <a:t>год</a:t>
                </a:r>
              </a:p>
            </c:rich>
          </c:tx>
          <c:layout>
            <c:manualLayout>
              <c:xMode val="edge"/>
              <c:yMode val="edge"/>
              <c:x val="4.7222246390471907E-2"/>
              <c:y val="0.21108251123781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#,##0" sourceLinked="1"/>
        <c:majorTickMark val="none"/>
        <c:minorTickMark val="none"/>
        <c:tickLblPos val="nextTo"/>
        <c:crossAx val="387611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8823731287732674E-2"/>
          <c:y val="0.22877823030741848"/>
          <c:w val="0.85419728783902016"/>
          <c:h val="6.3202689551446534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solidFill>
                  <a:sysClr val="windowText" lastClr="000000"/>
                </a:solidFill>
              </a:rPr>
              <a:t>Структура расходов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662189285162884"/>
          <c:y val="0.11928969816272966"/>
          <c:w val="0.47228324584426945"/>
          <c:h val="0.6542354106563126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270-47BE-A27D-2DB90D257D72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270-47BE-A27D-2DB90D257D72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270-47BE-A27D-2DB90D257D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270-47BE-A27D-2DB90D257D72}"/>
              </c:ext>
            </c:extLst>
          </c:dPt>
          <c:dLbls>
            <c:dLbl>
              <c:idx val="0"/>
              <c:layout>
                <c:manualLayout>
                  <c:x val="-7.9492563429571297E-3"/>
                  <c:y val="-2.720230219156489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70-47BE-A27D-2DB90D257D72}"/>
                </c:ext>
              </c:extLst>
            </c:dLbl>
            <c:dLbl>
              <c:idx val="2"/>
              <c:layout>
                <c:manualLayout>
                  <c:x val="-1.2098534558180227E-2"/>
                  <c:y val="1.264180820372626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70-47BE-A27D-2DB90D257D72}"/>
                </c:ext>
              </c:extLst>
            </c:dLbl>
            <c:dLbl>
              <c:idx val="3"/>
              <c:layout>
                <c:manualLayout>
                  <c:x val="3.1076224846894138E-2"/>
                  <c:y val="-2.529518520928685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270-47BE-A27D-2DB90D257D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Лист3!$B$11:$B$14</c:f>
              <c:strCache>
                <c:ptCount val="4"/>
                <c:pt idx="0">
                  <c:v>Материальные расходы</c:v>
                </c:pt>
                <c:pt idx="1">
                  <c:v>Расходы на персонал</c:v>
                </c:pt>
                <c:pt idx="2">
                  <c:v>Расходы на техническую поддержку, эксплуатацию</c:v>
                </c:pt>
                <c:pt idx="3">
                  <c:v>Распределительные и административные расходы</c:v>
                </c:pt>
              </c:strCache>
            </c:strRef>
          </c:cat>
          <c:val>
            <c:numRef>
              <c:f>Лист3!$C$11:$C$14</c:f>
              <c:numCache>
                <c:formatCode>General</c:formatCode>
                <c:ptCount val="4"/>
                <c:pt idx="0">
                  <c:v>890.4</c:v>
                </c:pt>
                <c:pt idx="1">
                  <c:v>8576.9</c:v>
                </c:pt>
                <c:pt idx="2">
                  <c:v>172.2</c:v>
                </c:pt>
                <c:pt idx="3">
                  <c:v>321.2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270-47BE-A27D-2DB90D257D7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tx1">
        <a:lumMod val="50000"/>
        <a:lumOff val="5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/>
              <a:t>Структура основных расходов </a:t>
            </a:r>
            <a:r>
              <a:rPr lang="ru-RU" sz="1800" b="1" i="0" u="none" strike="noStrike" baseline="0">
                <a:effectLst/>
              </a:rPr>
              <a:t>в разрезе услуг</a:t>
            </a:r>
            <a:r>
              <a:rPr lang="ru-RU" sz="1800"/>
              <a:t> </a:t>
            </a:r>
            <a:r>
              <a:rPr lang="ru-RU" sz="1800" b="1" i="0" u="none" strike="noStrike" baseline="0">
                <a:effectLst/>
              </a:rPr>
              <a:t>предприятия в</a:t>
            </a:r>
            <a:r>
              <a:rPr lang="ru-RU" sz="1800"/>
              <a:t> 2020</a:t>
            </a:r>
            <a:r>
              <a:rPr lang="ru-RU" sz="1800" baseline="0"/>
              <a:t> г.</a:t>
            </a:r>
            <a:endParaRPr lang="ru-RU" sz="18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Лист2!$B$9</c:f>
              <c:strCache>
                <c:ptCount val="1"/>
                <c:pt idx="0">
                  <c:v>леев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D42-43D6-9EFB-F207BCA647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D42-43D6-9EFB-F207BCA6471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Лист2!$A$10:$A$11</c:f>
              <c:strCache>
                <c:ptCount val="2"/>
                <c:pt idx="0">
                  <c:v>Услуги водоснабжения питьевой воды</c:v>
                </c:pt>
                <c:pt idx="1">
                  <c:v>Услуги канализации</c:v>
                </c:pt>
              </c:strCache>
            </c:strRef>
          </c:cat>
          <c:val>
            <c:numRef>
              <c:f>Лист2!$B$10:$B$11</c:f>
              <c:numCache>
                <c:formatCode>#,##0</c:formatCode>
                <c:ptCount val="2"/>
                <c:pt idx="0">
                  <c:v>5971465</c:v>
                </c:pt>
                <c:pt idx="1">
                  <c:v>3975599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42-43D6-9EFB-F207BCA6471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58812073490813643"/>
          <c:y val="0.36499890638670163"/>
          <c:w val="0.3952125984251969"/>
          <c:h val="0.4189836687080781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Динамика изменения</a:t>
            </a:r>
            <a:r>
              <a:rPr lang="ru-RU" sz="1600" baseline="0"/>
              <a:t> средней заработной платы по предприятию</a:t>
            </a:r>
            <a:endParaRPr lang="ru-RU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Лист4!$B$33:$B$38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xVal>
          <c:yVal>
            <c:numRef>
              <c:f>Лист4!$C$33:$C$38</c:f>
              <c:numCache>
                <c:formatCode>General</c:formatCode>
                <c:ptCount val="6"/>
                <c:pt idx="0">
                  <c:v>2970</c:v>
                </c:pt>
                <c:pt idx="1">
                  <c:v>3246</c:v>
                </c:pt>
                <c:pt idx="2">
                  <c:v>3717</c:v>
                </c:pt>
                <c:pt idx="3">
                  <c:v>3539</c:v>
                </c:pt>
                <c:pt idx="4">
                  <c:v>4134</c:v>
                </c:pt>
                <c:pt idx="5">
                  <c:v>6162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A74-4F88-A230-AC4B53A3077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441030264"/>
        <c:axId val="441031576"/>
      </c:scatterChart>
      <c:valAx>
        <c:axId val="441030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031576"/>
        <c:crosses val="autoZero"/>
        <c:crossBetween val="midCat"/>
      </c:valAx>
      <c:valAx>
        <c:axId val="44103157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/>
                  <a:t>леев на 1 человека в месяц</a:t>
                </a:r>
              </a:p>
            </c:rich>
          </c:tx>
          <c:layout>
            <c:manualLayout>
              <c:xMode val="edge"/>
              <c:yMode val="edge"/>
              <c:x val="3.0555555555555555E-2"/>
              <c:y val="0.106759259259259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4410302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9BCF-C361-47B5-B199-5DA9FE23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2021-05-05T10:23:00Z</cp:lastPrinted>
  <dcterms:created xsi:type="dcterms:W3CDTF">2021-04-27T10:45:00Z</dcterms:created>
  <dcterms:modified xsi:type="dcterms:W3CDTF">2021-05-13T05:35:00Z</dcterms:modified>
</cp:coreProperties>
</file>